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F716" w14:textId="329EAE17" w:rsidR="00EF3FD1" w:rsidRPr="00375F64" w:rsidRDefault="00EF3FD1" w:rsidP="00A614EE">
      <w:pPr>
        <w:jc w:val="center"/>
        <w:rPr>
          <w:rFonts w:cs="Times New Roman"/>
          <w:b/>
          <w:lang w:val="en-US"/>
        </w:rPr>
      </w:pPr>
      <w:bookmarkStart w:id="0" w:name="_GoBack"/>
      <w:bookmarkEnd w:id="0"/>
      <w:r w:rsidRPr="00375F64">
        <w:rPr>
          <w:rFonts w:cs="Times New Roman"/>
          <w:b/>
          <w:lang w:val="en-US"/>
        </w:rPr>
        <w:t>Annex 1</w:t>
      </w:r>
      <w:r w:rsidR="007F18A2" w:rsidRPr="00375F64">
        <w:rPr>
          <w:rFonts w:cs="Times New Roman"/>
          <w:b/>
          <w:lang w:val="en-US"/>
        </w:rPr>
        <w:t>.1</w:t>
      </w:r>
    </w:p>
    <w:p w14:paraId="6E2FF56F" w14:textId="42799307" w:rsidR="0007294E" w:rsidRPr="00375F64" w:rsidRDefault="00EF3FD1" w:rsidP="00A614EE">
      <w:pPr>
        <w:jc w:val="center"/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 xml:space="preserve">ELABORATING A </w:t>
      </w:r>
      <w:r w:rsidR="00A614EE" w:rsidRPr="00375F64">
        <w:rPr>
          <w:rFonts w:cs="Times New Roman"/>
          <w:b/>
          <w:lang w:val="en-US"/>
        </w:rPr>
        <w:t xml:space="preserve">LEARNRING </w:t>
      </w:r>
      <w:r w:rsidR="00375F64" w:rsidRPr="00375F64">
        <w:rPr>
          <w:rFonts w:cs="Times New Roman"/>
          <w:b/>
          <w:lang w:val="en-US"/>
        </w:rPr>
        <w:t>AGREEMENT:</w:t>
      </w:r>
      <w:r w:rsidR="00A614EE" w:rsidRPr="00375F64">
        <w:rPr>
          <w:rFonts w:cs="Times New Roman"/>
          <w:b/>
          <w:lang w:val="en-US"/>
        </w:rPr>
        <w:t xml:space="preserve"> example 1</w:t>
      </w:r>
    </w:p>
    <w:p w14:paraId="40E7997D" w14:textId="77777777" w:rsidR="00A614EE" w:rsidRPr="00375F64" w:rsidRDefault="0055255A" w:rsidP="00A614EE">
      <w:pPr>
        <w:jc w:val="center"/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Bachelor program in P</w:t>
      </w:r>
      <w:r w:rsidR="00A614EE" w:rsidRPr="00375F64">
        <w:rPr>
          <w:rFonts w:cs="Times New Roman"/>
          <w:b/>
          <w:lang w:val="en-US"/>
        </w:rPr>
        <w:t>hysics</w:t>
      </w:r>
    </w:p>
    <w:p w14:paraId="0FF8151F" w14:textId="77777777" w:rsidR="00A614EE" w:rsidRPr="00375F64" w:rsidRDefault="00315174" w:rsidP="00A614EE">
      <w:p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 xml:space="preserve">A student from the </w:t>
      </w:r>
      <w:r w:rsidR="00A614EE" w:rsidRPr="00375F64">
        <w:rPr>
          <w:rFonts w:cs="Times New Roman"/>
          <w:lang w:val="en-US"/>
        </w:rPr>
        <w:t xml:space="preserve">Baku </w:t>
      </w:r>
      <w:r w:rsidRPr="00375F64">
        <w:rPr>
          <w:rFonts w:cs="Times New Roman"/>
          <w:lang w:val="en-US"/>
        </w:rPr>
        <w:t xml:space="preserve">State University </w:t>
      </w:r>
      <w:r w:rsidR="00A614EE" w:rsidRPr="00375F64">
        <w:rPr>
          <w:rFonts w:cs="Times New Roman"/>
          <w:lang w:val="en-US"/>
        </w:rPr>
        <w:t>leaves on the 3</w:t>
      </w:r>
      <w:r w:rsidR="00A614EE" w:rsidRPr="00375F64">
        <w:rPr>
          <w:rFonts w:cs="Times New Roman"/>
          <w:vertAlign w:val="superscript"/>
          <w:lang w:val="en-US"/>
        </w:rPr>
        <w:t>rd</w:t>
      </w:r>
      <w:r w:rsidR="00A614EE" w:rsidRPr="00375F64">
        <w:rPr>
          <w:rFonts w:cs="Times New Roman"/>
          <w:lang w:val="en-US"/>
        </w:rPr>
        <w:t xml:space="preserve"> semester</w:t>
      </w:r>
      <w:r w:rsidRPr="00375F64">
        <w:rPr>
          <w:rFonts w:cs="Times New Roman"/>
          <w:lang w:val="en-US"/>
        </w:rPr>
        <w:t xml:space="preserve"> for a m</w:t>
      </w:r>
      <w:r w:rsidR="0055255A" w:rsidRPr="00375F64">
        <w:rPr>
          <w:rFonts w:cs="Times New Roman"/>
          <w:lang w:val="en-US"/>
        </w:rPr>
        <w:t xml:space="preserve">obility </w:t>
      </w:r>
      <w:r w:rsidR="00A614EE" w:rsidRPr="00375F64">
        <w:rPr>
          <w:rFonts w:cs="Times New Roman"/>
          <w:lang w:val="en-US"/>
        </w:rPr>
        <w:t>to the University of Nantes in France</w:t>
      </w:r>
      <w:r w:rsidR="008924FD" w:rsidRPr="00375F64">
        <w:rPr>
          <w:rFonts w:cs="Times New Roman"/>
          <w:lang w:val="en-US"/>
        </w:rPr>
        <w:t>.</w:t>
      </w:r>
    </w:p>
    <w:p w14:paraId="3B4F0F64" w14:textId="7C477DFD" w:rsidR="00A614EE" w:rsidRPr="00375F64" w:rsidRDefault="00A614EE" w:rsidP="00A614EE">
      <w:p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sym w:font="Wingdings" w:char="F0E8"/>
      </w:r>
      <w:r w:rsidRPr="00375F64">
        <w:rPr>
          <w:rFonts w:cs="Times New Roman"/>
          <w:lang w:val="en-US"/>
        </w:rPr>
        <w:t xml:space="preserve">The </w:t>
      </w:r>
      <w:r w:rsidR="0055255A" w:rsidRPr="00375F64">
        <w:rPr>
          <w:rFonts w:cs="Times New Roman"/>
          <w:lang w:val="en-US"/>
        </w:rPr>
        <w:t xml:space="preserve">subjects (courses) of the </w:t>
      </w:r>
      <w:r w:rsidRPr="00375F64">
        <w:rPr>
          <w:rFonts w:cs="Times New Roman"/>
          <w:lang w:val="en-US"/>
        </w:rPr>
        <w:t>3</w:t>
      </w:r>
      <w:r w:rsidRPr="00375F64">
        <w:rPr>
          <w:rFonts w:cs="Times New Roman"/>
          <w:vertAlign w:val="superscript"/>
          <w:lang w:val="en-US"/>
        </w:rPr>
        <w:t>rd</w:t>
      </w:r>
      <w:r w:rsidRPr="00375F64">
        <w:rPr>
          <w:rFonts w:cs="Times New Roman"/>
          <w:lang w:val="en-US"/>
        </w:rPr>
        <w:t xml:space="preserve"> semester of the bach</w:t>
      </w:r>
      <w:r w:rsidR="0055255A" w:rsidRPr="00375F64">
        <w:rPr>
          <w:rFonts w:cs="Times New Roman"/>
          <w:lang w:val="en-US"/>
        </w:rPr>
        <w:t xml:space="preserve">elor program in physics in </w:t>
      </w:r>
      <w:r w:rsidRPr="00375F64">
        <w:rPr>
          <w:rFonts w:cs="Times New Roman"/>
          <w:lang w:val="en-US"/>
        </w:rPr>
        <w:t>Baku State University</w:t>
      </w:r>
      <w:r w:rsidR="0055255A" w:rsidRPr="00375F64">
        <w:rPr>
          <w:rFonts w:cs="Times New Roman"/>
          <w:lang w:val="en-US"/>
        </w:rPr>
        <w:t xml:space="preserve"> are</w:t>
      </w:r>
      <w:r w:rsidRPr="00375F64">
        <w:rPr>
          <w:rFonts w:cs="Times New Roman"/>
          <w:lang w:val="en-US"/>
        </w:rPr>
        <w:t xml:space="preserve"> </w:t>
      </w:r>
      <w:r w:rsidR="0080438E" w:rsidRPr="00375F64">
        <w:rPr>
          <w:rFonts w:cs="Times New Roman"/>
          <w:lang w:val="en-US"/>
        </w:rPr>
        <w:t>(cf. Annex 1</w:t>
      </w:r>
      <w:r w:rsidR="00EF3FD1" w:rsidRPr="00375F64">
        <w:rPr>
          <w:rFonts w:cs="Times New Roman"/>
          <w:lang w:val="en-US"/>
        </w:rPr>
        <w:t>.1</w:t>
      </w:r>
      <w:r w:rsidR="0080438E" w:rsidRPr="00375F64">
        <w:rPr>
          <w:rFonts w:cs="Times New Roman"/>
          <w:lang w:val="en-US"/>
        </w:rPr>
        <w:t>)</w:t>
      </w:r>
      <w:r w:rsidRPr="00375F64">
        <w:rPr>
          <w:rFonts w:cs="Times New Roman"/>
          <w:lang w:val="en-US"/>
        </w:rPr>
        <w:t>:</w:t>
      </w:r>
      <w:r w:rsidR="0080438E" w:rsidRPr="00375F64">
        <w:rPr>
          <w:rFonts w:cs="Times New Roman"/>
          <w:lang w:val="en-US"/>
        </w:rPr>
        <w:t xml:space="preserve"> </w:t>
      </w:r>
    </w:p>
    <w:p w14:paraId="630E53F4" w14:textId="77777777" w:rsidR="00A614EE" w:rsidRPr="00375F64" w:rsidRDefault="00A614EE" w:rsidP="00A614EE">
      <w:pPr>
        <w:pStyle w:val="Paragraphedeliste"/>
        <w:numPr>
          <w:ilvl w:val="0"/>
          <w:numId w:val="1"/>
        </w:num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Electric and magnetism (9 ECTS)</w:t>
      </w:r>
    </w:p>
    <w:p w14:paraId="37B7B5AC" w14:textId="77777777" w:rsidR="00A614EE" w:rsidRPr="00375F64" w:rsidRDefault="00A614EE" w:rsidP="00A614EE">
      <w:pPr>
        <w:pStyle w:val="Paragraphedeliste"/>
        <w:numPr>
          <w:ilvl w:val="0"/>
          <w:numId w:val="1"/>
        </w:num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Analytical geometry (4 ECTS)</w:t>
      </w:r>
    </w:p>
    <w:p w14:paraId="1DC14EE5" w14:textId="77777777" w:rsidR="00A614EE" w:rsidRPr="00375F64" w:rsidRDefault="00315174" w:rsidP="00A614EE">
      <w:pPr>
        <w:pStyle w:val="Paragraphedeliste"/>
        <w:numPr>
          <w:ilvl w:val="0"/>
          <w:numId w:val="1"/>
        </w:num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Differential and</w:t>
      </w:r>
      <w:r w:rsidR="00A614EE" w:rsidRPr="00375F64">
        <w:rPr>
          <w:rFonts w:cs="Times New Roman"/>
          <w:lang w:val="en-US"/>
        </w:rPr>
        <w:t xml:space="preserve"> integral equations (4 ECTS)</w:t>
      </w:r>
    </w:p>
    <w:p w14:paraId="1BFC5EA4" w14:textId="77777777" w:rsidR="00A614EE" w:rsidRPr="00375F64" w:rsidRDefault="00A614EE" w:rsidP="00A614EE">
      <w:pPr>
        <w:pStyle w:val="Paragraphedeliste"/>
        <w:numPr>
          <w:ilvl w:val="0"/>
          <w:numId w:val="1"/>
        </w:num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Informatics (5 ECTS)</w:t>
      </w:r>
    </w:p>
    <w:p w14:paraId="3BC77CF0" w14:textId="77777777" w:rsidR="00A614EE" w:rsidRPr="00375F64" w:rsidRDefault="00A614EE" w:rsidP="00A614EE">
      <w:pPr>
        <w:pStyle w:val="Paragraphedeliste"/>
        <w:numPr>
          <w:ilvl w:val="0"/>
          <w:numId w:val="1"/>
        </w:num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Astronomy (4 ECTS)</w:t>
      </w:r>
    </w:p>
    <w:p w14:paraId="6F10E857" w14:textId="2965D4E8" w:rsidR="0055255A" w:rsidRDefault="00A614EE" w:rsidP="0055255A">
      <w:pPr>
        <w:pStyle w:val="Paragraphedeliste"/>
        <w:numPr>
          <w:ilvl w:val="0"/>
          <w:numId w:val="1"/>
        </w:numPr>
        <w:spacing w:after="0"/>
        <w:ind w:left="714" w:hanging="357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General chemistry. Chemistry of elements (4 ECTS)</w:t>
      </w:r>
    </w:p>
    <w:p w14:paraId="42A58293" w14:textId="77777777" w:rsidR="0042720C" w:rsidRPr="00375F64" w:rsidRDefault="0042720C" w:rsidP="0042720C">
      <w:pPr>
        <w:pStyle w:val="Paragraphedeliste"/>
        <w:spacing w:after="0"/>
        <w:ind w:left="714"/>
        <w:jc w:val="both"/>
        <w:rPr>
          <w:rFonts w:cs="Times New Roman"/>
          <w:lang w:val="en-US"/>
        </w:rPr>
      </w:pPr>
    </w:p>
    <w:p w14:paraId="76AE33AF" w14:textId="5DB95103" w:rsidR="0055255A" w:rsidRPr="00375F64" w:rsidRDefault="0055255A" w:rsidP="0055255A">
      <w:p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Total ECTS credits: 30.</w:t>
      </w:r>
    </w:p>
    <w:p w14:paraId="1401B7F0" w14:textId="77777777" w:rsidR="008924FD" w:rsidRPr="00375F64" w:rsidRDefault="008924FD" w:rsidP="00A614EE">
      <w:p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 xml:space="preserve">Which related courses (subjects) </w:t>
      </w:r>
      <w:r w:rsidR="00315174" w:rsidRPr="00375F64">
        <w:rPr>
          <w:rFonts w:cs="Times New Roman"/>
          <w:lang w:val="en-US"/>
        </w:rPr>
        <w:t>can be</w:t>
      </w:r>
      <w:r w:rsidR="00A614EE" w:rsidRPr="00375F64">
        <w:rPr>
          <w:rFonts w:cs="Times New Roman"/>
          <w:lang w:val="en-US"/>
        </w:rPr>
        <w:t xml:space="preserve"> found in the study plan of Nantes University</w:t>
      </w:r>
      <w:r w:rsidR="0080438E" w:rsidRPr="00375F64">
        <w:rPr>
          <w:rFonts w:cs="Times New Roman"/>
          <w:lang w:val="en-US"/>
        </w:rPr>
        <w:t xml:space="preserve"> (cf. annex </w:t>
      </w:r>
      <w:r w:rsidR="00EF3FD1" w:rsidRPr="00375F64">
        <w:rPr>
          <w:rFonts w:cs="Times New Roman"/>
          <w:lang w:val="en-US"/>
        </w:rPr>
        <w:t>1.</w:t>
      </w:r>
      <w:r w:rsidR="0080438E" w:rsidRPr="00375F64">
        <w:rPr>
          <w:rFonts w:cs="Times New Roman"/>
          <w:lang w:val="en-US"/>
        </w:rPr>
        <w:t xml:space="preserve">2) </w:t>
      </w:r>
      <w:r w:rsidR="00A614EE" w:rsidRPr="00375F64">
        <w:rPr>
          <w:rFonts w:cs="Times New Roman"/>
          <w:lang w:val="en-US"/>
        </w:rPr>
        <w:t xml:space="preserve"> ?</w:t>
      </w:r>
      <w:r w:rsidR="00315174" w:rsidRPr="00375F64">
        <w:rPr>
          <w:rFonts w:cs="Times New Roman"/>
          <w:lang w:val="en-US"/>
        </w:rPr>
        <w:t xml:space="preserve"> Note that </w:t>
      </w:r>
      <w:r w:rsidRPr="00375F64">
        <w:rPr>
          <w:rFonts w:cs="Times New Roman"/>
          <w:lang w:val="en-US"/>
        </w:rPr>
        <w:t xml:space="preserve">the </w:t>
      </w:r>
      <w:r w:rsidR="00315174" w:rsidRPr="00375F64">
        <w:rPr>
          <w:rFonts w:cs="Times New Roman"/>
          <w:lang w:val="en-US"/>
        </w:rPr>
        <w:t>student can choose any course of the 1</w:t>
      </w:r>
      <w:r w:rsidR="00315174" w:rsidRPr="00375F64">
        <w:rPr>
          <w:rFonts w:cs="Times New Roman"/>
          <w:vertAlign w:val="superscript"/>
          <w:lang w:val="en-US"/>
        </w:rPr>
        <w:t>st</w:t>
      </w:r>
      <w:r w:rsidR="00315174" w:rsidRPr="00375F64">
        <w:rPr>
          <w:rFonts w:cs="Times New Roman"/>
          <w:lang w:val="en-US"/>
        </w:rPr>
        <w:t>, 3</w:t>
      </w:r>
      <w:r w:rsidR="00315174" w:rsidRPr="00375F64">
        <w:rPr>
          <w:rFonts w:cs="Times New Roman"/>
          <w:vertAlign w:val="superscript"/>
          <w:lang w:val="en-US"/>
        </w:rPr>
        <w:t>rd</w:t>
      </w:r>
      <w:r w:rsidR="00315174" w:rsidRPr="00375F64">
        <w:rPr>
          <w:rFonts w:cs="Times New Roman"/>
          <w:lang w:val="en-US"/>
        </w:rPr>
        <w:t xml:space="preserve"> or 5</w:t>
      </w:r>
      <w:r w:rsidR="00315174" w:rsidRPr="00375F64">
        <w:rPr>
          <w:rFonts w:cs="Times New Roman"/>
          <w:vertAlign w:val="superscript"/>
          <w:lang w:val="en-US"/>
        </w:rPr>
        <w:t>th</w:t>
      </w:r>
      <w:r w:rsidR="00315174" w:rsidRPr="00375F64">
        <w:rPr>
          <w:rFonts w:cs="Times New Roman"/>
          <w:lang w:val="en-US"/>
        </w:rPr>
        <w:t xml:space="preserve"> semester</w:t>
      </w:r>
      <w:r w:rsidR="0080438E" w:rsidRPr="00375F64">
        <w:rPr>
          <w:rFonts w:cs="Times New Roman"/>
          <w:lang w:val="en-US"/>
        </w:rPr>
        <w:t>.</w:t>
      </w:r>
      <w:r w:rsidRPr="00375F64">
        <w:rPr>
          <w:rFonts w:cs="Times New Roman"/>
          <w:lang w:val="en-US"/>
        </w:rPr>
        <w:t xml:space="preserve"> </w:t>
      </w:r>
    </w:p>
    <w:p w14:paraId="20FA334D" w14:textId="77777777" w:rsidR="00A614EE" w:rsidRPr="00375F64" w:rsidRDefault="008924FD" w:rsidP="00A614EE">
      <w:p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To check the equivalency between the courses (subjects) it is recommended to check the related learning outcomes.</w:t>
      </w:r>
    </w:p>
    <w:p w14:paraId="398EE4E5" w14:textId="77777777" w:rsidR="00A614EE" w:rsidRPr="00375F64" w:rsidRDefault="0050719B" w:rsidP="0050719B">
      <w:pPr>
        <w:pStyle w:val="Paragraphedeliste"/>
        <w:numPr>
          <w:ilvl w:val="0"/>
          <w:numId w:val="2"/>
        </w:num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Semester 3 UE</w:t>
      </w:r>
      <w:r w:rsidR="00EF3FD1" w:rsidRPr="00375F64">
        <w:rPr>
          <w:rStyle w:val="Appelnotedebasdep"/>
          <w:rFonts w:cs="Times New Roman"/>
          <w:lang w:val="en-US"/>
        </w:rPr>
        <w:footnoteReference w:id="1"/>
      </w:r>
      <w:r w:rsidRPr="00375F64">
        <w:rPr>
          <w:rFonts w:cs="Times New Roman"/>
          <w:lang w:val="en-US"/>
        </w:rPr>
        <w:t xml:space="preserve"> 5 : electromagnetism (5 ECTS)</w:t>
      </w:r>
    </w:p>
    <w:p w14:paraId="39EFE974" w14:textId="77777777" w:rsidR="0050719B" w:rsidRPr="00375F64" w:rsidRDefault="0050719B" w:rsidP="0050719B">
      <w:pPr>
        <w:pStyle w:val="Paragraphedeliste"/>
        <w:numPr>
          <w:ilvl w:val="0"/>
          <w:numId w:val="2"/>
        </w:numPr>
        <w:spacing w:after="0"/>
        <w:ind w:left="714" w:hanging="357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Semes</w:t>
      </w:r>
      <w:r w:rsidR="0055255A" w:rsidRPr="00375F64">
        <w:rPr>
          <w:rFonts w:cs="Times New Roman"/>
          <w:lang w:val="en-US"/>
        </w:rPr>
        <w:t>ter 5 UE 4 : electromagnetism (3</w:t>
      </w:r>
      <w:r w:rsidRPr="00375F64">
        <w:rPr>
          <w:rFonts w:cs="Times New Roman"/>
          <w:lang w:val="en-US"/>
        </w:rPr>
        <w:t xml:space="preserve"> ECTS)</w:t>
      </w:r>
    </w:p>
    <w:p w14:paraId="43DBCCD3" w14:textId="77777777" w:rsidR="0050719B" w:rsidRPr="00375F64" w:rsidRDefault="005B1D4A" w:rsidP="0050719B">
      <w:p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 xml:space="preserve">These 2 courses match </w:t>
      </w:r>
      <w:r w:rsidR="0050719B" w:rsidRPr="00375F64">
        <w:rPr>
          <w:rFonts w:cs="Times New Roman"/>
          <w:lang w:val="en-US"/>
        </w:rPr>
        <w:t xml:space="preserve"> </w:t>
      </w:r>
      <w:r w:rsidR="00D944ED" w:rsidRPr="00375F64">
        <w:rPr>
          <w:rFonts w:cs="Times New Roman"/>
          <w:lang w:val="en-US"/>
        </w:rPr>
        <w:t>perfectly;</w:t>
      </w:r>
      <w:r w:rsidR="0050719B" w:rsidRPr="00375F64">
        <w:rPr>
          <w:rFonts w:cs="Times New Roman"/>
          <w:lang w:val="en-US"/>
        </w:rPr>
        <w:t xml:space="preserve"> 10 ECTS instead of 9 ECTS but it is </w:t>
      </w:r>
      <w:r w:rsidR="00AD6893" w:rsidRPr="00375F64">
        <w:rPr>
          <w:rFonts w:cs="Times New Roman"/>
          <w:lang w:val="en-US"/>
        </w:rPr>
        <w:t xml:space="preserve">not </w:t>
      </w:r>
      <w:r w:rsidR="0050719B" w:rsidRPr="00375F64">
        <w:rPr>
          <w:rFonts w:cs="Times New Roman"/>
          <w:lang w:val="en-US"/>
        </w:rPr>
        <w:t>a problem.</w:t>
      </w:r>
    </w:p>
    <w:p w14:paraId="624D91A4" w14:textId="77777777" w:rsidR="0050719B" w:rsidRPr="00375F64" w:rsidRDefault="0050719B" w:rsidP="0050719B">
      <w:pPr>
        <w:pStyle w:val="Paragraphedeliste"/>
        <w:numPr>
          <w:ilvl w:val="0"/>
          <w:numId w:val="3"/>
        </w:num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Semester 3 : UE 6: mathematic tools (4 ECTS)</w:t>
      </w:r>
    </w:p>
    <w:p w14:paraId="54D93C5C" w14:textId="77777777" w:rsidR="0050719B" w:rsidRPr="00375F64" w:rsidRDefault="0050719B" w:rsidP="0050719B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Semester 5 : UE 2: mathematic tools (5 ECTS)</w:t>
      </w:r>
    </w:p>
    <w:p w14:paraId="2CED71F6" w14:textId="77777777" w:rsidR="0050719B" w:rsidRPr="00375F64" w:rsidRDefault="0050719B" w:rsidP="0050719B">
      <w:p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Also in this case the number of credits is not exactly the same, but the difference is not significant</w:t>
      </w:r>
      <w:r w:rsidR="00315174" w:rsidRPr="00375F64">
        <w:rPr>
          <w:rFonts w:cs="Times New Roman"/>
          <w:lang w:val="en-US"/>
        </w:rPr>
        <w:t>.</w:t>
      </w:r>
    </w:p>
    <w:p w14:paraId="2C39AA5C" w14:textId="77777777" w:rsidR="00315174" w:rsidRPr="00375F64" w:rsidRDefault="00315174" w:rsidP="0050719B">
      <w:pPr>
        <w:spacing w:after="0"/>
        <w:jc w:val="both"/>
        <w:rPr>
          <w:rFonts w:cs="Times New Roman"/>
          <w:lang w:val="en-US"/>
        </w:rPr>
      </w:pPr>
    </w:p>
    <w:p w14:paraId="3B49438B" w14:textId="77777777" w:rsidR="00315174" w:rsidRPr="00375F64" w:rsidRDefault="00315174" w:rsidP="00315174">
      <w:pPr>
        <w:pStyle w:val="Paragraphedeliste"/>
        <w:numPr>
          <w:ilvl w:val="0"/>
          <w:numId w:val="5"/>
        </w:num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Semester 1 UE 4 : Informatics (5 ECTS) : no problem!</w:t>
      </w:r>
    </w:p>
    <w:p w14:paraId="04B10736" w14:textId="77777777" w:rsidR="008924FD" w:rsidRPr="00375F64" w:rsidRDefault="008924FD" w:rsidP="008924FD">
      <w:pPr>
        <w:spacing w:after="0"/>
        <w:jc w:val="both"/>
        <w:rPr>
          <w:rFonts w:cs="Times New Roman"/>
          <w:lang w:val="en-US"/>
        </w:rPr>
      </w:pPr>
    </w:p>
    <w:p w14:paraId="166E62AF" w14:textId="77777777" w:rsidR="00315174" w:rsidRPr="00375F64" w:rsidRDefault="00315174" w:rsidP="00315174">
      <w:pPr>
        <w:pStyle w:val="Paragraphedeliste"/>
        <w:numPr>
          <w:ilvl w:val="0"/>
          <w:numId w:val="5"/>
        </w:num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 xml:space="preserve">Semester </w:t>
      </w:r>
      <w:r w:rsidRPr="00375F64">
        <w:rPr>
          <w:rFonts w:cs="Times New Roman"/>
          <w:color w:val="FF0000"/>
          <w:lang w:val="en-US"/>
        </w:rPr>
        <w:t>4</w:t>
      </w:r>
      <w:r w:rsidR="005B7C84" w:rsidRPr="00375F64">
        <w:rPr>
          <w:rFonts w:cs="Times New Roman"/>
          <w:lang w:val="en-US"/>
        </w:rPr>
        <w:t xml:space="preserve"> UE 8 : </w:t>
      </w:r>
      <w:proofErr w:type="spellStart"/>
      <w:r w:rsidR="005B7C84" w:rsidRPr="00375F64">
        <w:rPr>
          <w:rFonts w:cs="Times New Roman"/>
          <w:lang w:val="en-US"/>
        </w:rPr>
        <w:t>astrolophysics</w:t>
      </w:r>
      <w:proofErr w:type="spellEnd"/>
      <w:r w:rsidRPr="00375F64">
        <w:rPr>
          <w:rFonts w:cs="Times New Roman"/>
          <w:lang w:val="en-US"/>
        </w:rPr>
        <w:t xml:space="preserve"> and planetology : the “same” course exists but the student cannot attend it</w:t>
      </w:r>
      <w:r w:rsidR="0080438E" w:rsidRPr="00375F64">
        <w:rPr>
          <w:rFonts w:cs="Times New Roman"/>
          <w:lang w:val="en-US"/>
        </w:rPr>
        <w:t xml:space="preserve"> because it is taught only the next semester.</w:t>
      </w:r>
      <w:r w:rsidRPr="00375F64">
        <w:rPr>
          <w:rFonts w:cs="Times New Roman"/>
          <w:lang w:val="en-US"/>
        </w:rPr>
        <w:t>. Two possibilities : choose the UE 7 of semester 1 : universe sciences (3 ECTS) ; it is  an introductive course, so the level is likely to be lower than in Baku</w:t>
      </w:r>
      <w:r w:rsidR="00D944ED" w:rsidRPr="00375F64">
        <w:rPr>
          <w:rFonts w:cs="Times New Roman"/>
          <w:lang w:val="en-US"/>
        </w:rPr>
        <w:t>, or replace by anothe</w:t>
      </w:r>
      <w:r w:rsidR="0080438E" w:rsidRPr="00375F64">
        <w:rPr>
          <w:rFonts w:cs="Times New Roman"/>
          <w:lang w:val="en-US"/>
        </w:rPr>
        <w:t>r course</w:t>
      </w:r>
      <w:r w:rsidR="00D944ED" w:rsidRPr="00375F64">
        <w:rPr>
          <w:rFonts w:cs="Times New Roman"/>
          <w:lang w:val="en-US"/>
        </w:rPr>
        <w:t>, for instance semester 5 UE 3 : Quantum mechanics (5 ECTS)</w:t>
      </w:r>
    </w:p>
    <w:p w14:paraId="23CC92AA" w14:textId="77777777" w:rsidR="008924FD" w:rsidRPr="00375F64" w:rsidRDefault="008924FD" w:rsidP="008924FD">
      <w:pPr>
        <w:spacing w:after="0"/>
        <w:jc w:val="both"/>
        <w:rPr>
          <w:rFonts w:cs="Times New Roman"/>
          <w:lang w:val="en-US"/>
        </w:rPr>
      </w:pPr>
    </w:p>
    <w:p w14:paraId="7A235B59" w14:textId="77777777" w:rsidR="00D944ED" w:rsidRPr="00375F64" w:rsidRDefault="00D944ED" w:rsidP="00315174">
      <w:pPr>
        <w:pStyle w:val="Paragraphedeliste"/>
        <w:numPr>
          <w:ilvl w:val="0"/>
          <w:numId w:val="5"/>
        </w:num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Semester 1 UE 3 :chemistry</w:t>
      </w:r>
      <w:r w:rsidR="005B1D4A" w:rsidRPr="00375F64">
        <w:rPr>
          <w:rFonts w:cs="Times New Roman"/>
          <w:lang w:val="en-US"/>
        </w:rPr>
        <w:t xml:space="preserve"> </w:t>
      </w:r>
      <w:r w:rsidRPr="00375F64">
        <w:rPr>
          <w:rFonts w:cs="Times New Roman"/>
          <w:lang w:val="en-US"/>
        </w:rPr>
        <w:t>: atom,  bonds, molecule (5 ECTS)</w:t>
      </w:r>
      <w:r w:rsidR="005B1D4A" w:rsidRPr="00375F64">
        <w:rPr>
          <w:rFonts w:cs="Times New Roman"/>
          <w:lang w:val="en-US"/>
        </w:rPr>
        <w:t>.</w:t>
      </w:r>
    </w:p>
    <w:p w14:paraId="39744C22" w14:textId="77777777" w:rsidR="00D944ED" w:rsidRPr="00375F64" w:rsidRDefault="00D944ED" w:rsidP="00D944ED">
      <w:pPr>
        <w:spacing w:after="0"/>
        <w:jc w:val="both"/>
        <w:rPr>
          <w:rFonts w:cs="Times New Roman"/>
          <w:lang w:val="en-US"/>
        </w:rPr>
      </w:pPr>
    </w:p>
    <w:p w14:paraId="3D999649" w14:textId="581E5E4D" w:rsidR="00593702" w:rsidRPr="00375F64" w:rsidRDefault="00D944ED" w:rsidP="00D944ED">
      <w:p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lastRenderedPageBreak/>
        <w:t xml:space="preserve">Total ECTS </w:t>
      </w:r>
      <w:r w:rsidR="008924FD" w:rsidRPr="00375F64">
        <w:rPr>
          <w:rFonts w:cs="Times New Roman"/>
          <w:lang w:val="en-US"/>
        </w:rPr>
        <w:t xml:space="preserve">credits : </w:t>
      </w:r>
      <w:r w:rsidR="0055255A" w:rsidRPr="00375F64">
        <w:rPr>
          <w:rFonts w:cs="Times New Roman"/>
          <w:lang w:val="en-US"/>
        </w:rPr>
        <w:t xml:space="preserve"> 30</w:t>
      </w:r>
      <w:r w:rsidRPr="00375F64">
        <w:rPr>
          <w:rFonts w:cs="Times New Roman"/>
          <w:lang w:val="en-US"/>
        </w:rPr>
        <w:t xml:space="preserve">  if </w:t>
      </w:r>
      <w:r w:rsidR="005B1D4A" w:rsidRPr="00375F64">
        <w:rPr>
          <w:rFonts w:cs="Times New Roman"/>
          <w:lang w:val="en-US"/>
        </w:rPr>
        <w:t xml:space="preserve"> the student chooses UE </w:t>
      </w:r>
      <w:r w:rsidRPr="00375F64">
        <w:rPr>
          <w:rFonts w:cs="Times New Roman"/>
          <w:lang w:val="en-US"/>
        </w:rPr>
        <w:t>univer</w:t>
      </w:r>
      <w:r w:rsidR="005B1D4A" w:rsidRPr="00375F64">
        <w:rPr>
          <w:rFonts w:cs="Times New Roman"/>
          <w:lang w:val="en-US"/>
        </w:rPr>
        <w:t>se</w:t>
      </w:r>
      <w:r w:rsidRPr="00375F64">
        <w:rPr>
          <w:rFonts w:cs="Times New Roman"/>
          <w:lang w:val="en-US"/>
        </w:rPr>
        <w:t xml:space="preserve"> sciences, </w:t>
      </w:r>
      <w:r w:rsidR="0055255A" w:rsidRPr="00375F64">
        <w:rPr>
          <w:rFonts w:cs="Times New Roman"/>
          <w:lang w:val="en-US"/>
        </w:rPr>
        <w:t>32</w:t>
      </w:r>
      <w:r w:rsidRPr="00375F64">
        <w:rPr>
          <w:rFonts w:cs="Times New Roman"/>
          <w:lang w:val="en-US"/>
        </w:rPr>
        <w:t xml:space="preserve"> in the other case (if he chooses </w:t>
      </w:r>
      <w:r w:rsidR="005B1D4A" w:rsidRPr="00375F64">
        <w:rPr>
          <w:rFonts w:cs="Times New Roman"/>
          <w:lang w:val="en-US"/>
        </w:rPr>
        <w:t xml:space="preserve">UE </w:t>
      </w:r>
      <w:r w:rsidRPr="00375F64">
        <w:rPr>
          <w:rFonts w:cs="Times New Roman"/>
          <w:lang w:val="en-US"/>
        </w:rPr>
        <w:t>quantum mechanics</w:t>
      </w:r>
      <w:r w:rsidR="0055255A" w:rsidRPr="00375F64">
        <w:rPr>
          <w:rFonts w:cs="Times New Roman"/>
          <w:lang w:val="en-US"/>
        </w:rPr>
        <w:t>)</w:t>
      </w:r>
      <w:r w:rsidRPr="00375F64">
        <w:rPr>
          <w:rFonts w:cs="Times New Roman"/>
          <w:lang w:val="en-US"/>
        </w:rPr>
        <w:t>. It is recommended to</w:t>
      </w:r>
      <w:r w:rsidR="005B1D4A" w:rsidRPr="00375F64">
        <w:rPr>
          <w:rFonts w:cs="Times New Roman"/>
          <w:lang w:val="en-US"/>
        </w:rPr>
        <w:t xml:space="preserve"> choose the solution which is c</w:t>
      </w:r>
      <w:r w:rsidRPr="00375F64">
        <w:rPr>
          <w:rFonts w:cs="Times New Roman"/>
          <w:lang w:val="en-US"/>
        </w:rPr>
        <w:t>loser to 30 ECTS</w:t>
      </w:r>
      <w:r w:rsidR="008924FD" w:rsidRPr="00375F64">
        <w:rPr>
          <w:rFonts w:cs="Times New Roman"/>
          <w:lang w:val="en-US"/>
        </w:rPr>
        <w:t xml:space="preserve"> but a small gap may be accepted</w:t>
      </w:r>
      <w:r w:rsidR="00846B62" w:rsidRPr="00375F64">
        <w:rPr>
          <w:rFonts w:cs="Times New Roman"/>
          <w:lang w:val="en-US"/>
        </w:rPr>
        <w:t>.</w:t>
      </w:r>
    </w:p>
    <w:p w14:paraId="48273181" w14:textId="77777777" w:rsidR="00D944ED" w:rsidRPr="00375F64" w:rsidRDefault="00D944ED" w:rsidP="00D944ED">
      <w:pPr>
        <w:spacing w:after="0"/>
        <w:jc w:val="both"/>
        <w:rPr>
          <w:rFonts w:cs="Times New Roman"/>
          <w:lang w:val="en-US"/>
        </w:rPr>
      </w:pPr>
    </w:p>
    <w:p w14:paraId="22A30A8A" w14:textId="23AFF9C9" w:rsidR="00D944ED" w:rsidRPr="00375F64" w:rsidRDefault="00D944ED" w:rsidP="00D944ED">
      <w:p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 xml:space="preserve">Conclusion </w:t>
      </w:r>
      <w:r w:rsidRPr="00375F64">
        <w:rPr>
          <w:rFonts w:cs="Times New Roman"/>
          <w:lang w:val="en-US"/>
        </w:rPr>
        <w:t>:</w:t>
      </w:r>
      <w:r w:rsidR="005B1D4A" w:rsidRPr="00375F64">
        <w:rPr>
          <w:rFonts w:cs="Times New Roman"/>
          <w:lang w:val="en-US"/>
        </w:rPr>
        <w:t xml:space="preserve"> the contents of the courses are the same in the two </w:t>
      </w:r>
      <w:r w:rsidR="00846B62" w:rsidRPr="00375F64">
        <w:rPr>
          <w:rFonts w:cs="Times New Roman"/>
          <w:lang w:val="en-US"/>
        </w:rPr>
        <w:t xml:space="preserve">study </w:t>
      </w:r>
      <w:r w:rsidR="005B1D4A" w:rsidRPr="00375F64">
        <w:rPr>
          <w:rFonts w:cs="Times New Roman"/>
          <w:lang w:val="en-US"/>
        </w:rPr>
        <w:t>plan</w:t>
      </w:r>
      <w:r w:rsidR="00846B62" w:rsidRPr="00375F64">
        <w:rPr>
          <w:rFonts w:cs="Times New Roman"/>
          <w:lang w:val="en-US"/>
        </w:rPr>
        <w:t>s</w:t>
      </w:r>
      <w:r w:rsidR="005B1D4A" w:rsidRPr="00375F64">
        <w:rPr>
          <w:rFonts w:cs="Times New Roman"/>
          <w:lang w:val="en-US"/>
        </w:rPr>
        <w:t xml:space="preserve">. The only problem is a difference of level for one or two courses. </w:t>
      </w:r>
      <w:r w:rsidR="0055255A" w:rsidRPr="00375F64">
        <w:rPr>
          <w:rFonts w:cs="Times New Roman"/>
          <w:lang w:val="en-US"/>
        </w:rPr>
        <w:t xml:space="preserve">So there should not be problem for the sending University to </w:t>
      </w:r>
      <w:r w:rsidR="005B1D4A" w:rsidRPr="00375F64">
        <w:rPr>
          <w:rFonts w:cs="Times New Roman"/>
          <w:lang w:val="en-US"/>
        </w:rPr>
        <w:t>validate the whole 3</w:t>
      </w:r>
      <w:r w:rsidR="005B1D4A" w:rsidRPr="00375F64">
        <w:rPr>
          <w:rFonts w:cs="Times New Roman"/>
          <w:vertAlign w:val="superscript"/>
          <w:lang w:val="en-US"/>
        </w:rPr>
        <w:t>rd</w:t>
      </w:r>
      <w:r w:rsidR="005B1D4A" w:rsidRPr="00375F64">
        <w:rPr>
          <w:rFonts w:cs="Times New Roman"/>
          <w:lang w:val="en-US"/>
        </w:rPr>
        <w:t xml:space="preserve"> semester.</w:t>
      </w:r>
      <w:r w:rsidR="008924FD" w:rsidRPr="00375F64">
        <w:rPr>
          <w:rFonts w:cs="Times New Roman"/>
          <w:lang w:val="en-US"/>
        </w:rPr>
        <w:t xml:space="preserve"> In this case, each subject (course)  of the semester could be validated separately. </w:t>
      </w:r>
    </w:p>
    <w:p w14:paraId="63D82074" w14:textId="77777777" w:rsidR="0080438E" w:rsidRPr="00375F64" w:rsidRDefault="0080438E" w:rsidP="00D944ED">
      <w:pPr>
        <w:spacing w:after="0"/>
        <w:jc w:val="both"/>
        <w:rPr>
          <w:rFonts w:cs="Times New Roman"/>
          <w:lang w:val="en-US"/>
        </w:rPr>
      </w:pPr>
    </w:p>
    <w:p w14:paraId="4A62CE43" w14:textId="00A339A3" w:rsidR="005B1D4A" w:rsidRDefault="0042720C" w:rsidP="0080438E">
      <w:pPr>
        <w:spacing w:after="0"/>
        <w:jc w:val="center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 xml:space="preserve">Figure </w:t>
      </w:r>
      <w:r w:rsidR="0080438E" w:rsidRPr="00375F64">
        <w:rPr>
          <w:rFonts w:cs="Times New Roman"/>
          <w:b/>
          <w:lang w:val="en-US"/>
        </w:rPr>
        <w:t>1</w:t>
      </w:r>
      <w:r w:rsidR="00EF3FD1" w:rsidRPr="00375F64">
        <w:rPr>
          <w:rFonts w:cs="Times New Roman"/>
          <w:b/>
          <w:lang w:val="en-US"/>
        </w:rPr>
        <w:t>.1</w:t>
      </w:r>
      <w:r w:rsidR="0080438E" w:rsidRPr="00375F64">
        <w:rPr>
          <w:rFonts w:cs="Times New Roman"/>
          <w:lang w:val="en-US"/>
        </w:rPr>
        <w:t xml:space="preserve"> : Courses of the 3</w:t>
      </w:r>
      <w:r w:rsidR="0080438E" w:rsidRPr="00375F64">
        <w:rPr>
          <w:rFonts w:cs="Times New Roman"/>
          <w:vertAlign w:val="superscript"/>
          <w:lang w:val="en-US"/>
        </w:rPr>
        <w:t>rd</w:t>
      </w:r>
      <w:r w:rsidR="0080438E" w:rsidRPr="00375F64">
        <w:rPr>
          <w:rFonts w:cs="Times New Roman"/>
          <w:lang w:val="en-US"/>
        </w:rPr>
        <w:t xml:space="preserve"> semester in Baku State University</w:t>
      </w:r>
    </w:p>
    <w:p w14:paraId="28E6963F" w14:textId="77777777" w:rsidR="0042720C" w:rsidRPr="0042720C" w:rsidRDefault="0042720C" w:rsidP="0080438E">
      <w:pPr>
        <w:spacing w:after="0"/>
        <w:jc w:val="center"/>
        <w:rPr>
          <w:rFonts w:cs="Times New Roman"/>
          <w:sz w:val="10"/>
          <w:szCs w:val="10"/>
          <w:lang w:val="en-US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1318"/>
        <w:gridCol w:w="988"/>
        <w:gridCol w:w="929"/>
        <w:gridCol w:w="1143"/>
        <w:gridCol w:w="1117"/>
        <w:gridCol w:w="850"/>
      </w:tblGrid>
      <w:tr w:rsidR="0080438E" w:rsidRPr="00375F64" w14:paraId="3FB3BE5A" w14:textId="77777777" w:rsidTr="00375F64">
        <w:trPr>
          <w:jc w:val="center"/>
        </w:trPr>
        <w:tc>
          <w:tcPr>
            <w:tcW w:w="7939" w:type="dxa"/>
            <w:gridSpan w:val="6"/>
            <w:vAlign w:val="center"/>
          </w:tcPr>
          <w:p w14:paraId="668CA9DC" w14:textId="77777777" w:rsidR="0080438E" w:rsidRPr="00375F64" w:rsidRDefault="0080438E" w:rsidP="003D443B">
            <w:pPr>
              <w:spacing w:after="0" w:line="240" w:lineRule="auto"/>
              <w:jc w:val="center"/>
              <w:rPr>
                <w:b/>
                <w:sz w:val="18"/>
                <w:szCs w:val="18"/>
                <w:lang w:val="az-Latn-AZ"/>
              </w:rPr>
            </w:pPr>
            <w:r w:rsidRPr="00375F64">
              <w:rPr>
                <w:b/>
                <w:sz w:val="18"/>
                <w:szCs w:val="18"/>
              </w:rPr>
              <w:t>3rd SEMESTER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D5D4F30" w14:textId="77777777" w:rsidR="0080438E" w:rsidRPr="00375F64" w:rsidRDefault="0080438E" w:rsidP="003D443B">
            <w:pPr>
              <w:spacing w:after="0" w:line="240" w:lineRule="auto"/>
              <w:jc w:val="both"/>
              <w:rPr>
                <w:color w:val="C00000"/>
                <w:sz w:val="18"/>
                <w:szCs w:val="18"/>
              </w:rPr>
            </w:pPr>
          </w:p>
        </w:tc>
      </w:tr>
      <w:tr w:rsidR="0080438E" w:rsidRPr="00375F64" w14:paraId="2D28BB57" w14:textId="77777777" w:rsidTr="00375F64">
        <w:trPr>
          <w:jc w:val="center"/>
        </w:trPr>
        <w:tc>
          <w:tcPr>
            <w:tcW w:w="7939" w:type="dxa"/>
            <w:gridSpan w:val="6"/>
            <w:vAlign w:val="center"/>
          </w:tcPr>
          <w:p w14:paraId="6D9A5B55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375F64">
              <w:rPr>
                <w:b/>
                <w:sz w:val="18"/>
                <w:szCs w:val="18"/>
                <w:lang w:val="az-Latn-AZ"/>
              </w:rPr>
              <w:t>Subjects of profession-training of specialty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5AEC782" w14:textId="77777777" w:rsidR="0080438E" w:rsidRPr="00375F64" w:rsidRDefault="0080438E" w:rsidP="003D443B">
            <w:pPr>
              <w:spacing w:after="0" w:line="240" w:lineRule="auto"/>
              <w:jc w:val="both"/>
              <w:rPr>
                <w:color w:val="C00000"/>
                <w:sz w:val="18"/>
                <w:szCs w:val="18"/>
                <w:lang w:val="en-US"/>
              </w:rPr>
            </w:pPr>
          </w:p>
        </w:tc>
      </w:tr>
      <w:tr w:rsidR="0080438E" w:rsidRPr="00375F64" w14:paraId="74A58586" w14:textId="77777777" w:rsidTr="00375F64">
        <w:trPr>
          <w:jc w:val="center"/>
        </w:trPr>
        <w:tc>
          <w:tcPr>
            <w:tcW w:w="2444" w:type="dxa"/>
          </w:tcPr>
          <w:p w14:paraId="0EA7CEC7" w14:textId="77777777" w:rsidR="0080438E" w:rsidRPr="00375F64" w:rsidRDefault="0080438E" w:rsidP="003D443B">
            <w:pPr>
              <w:jc w:val="both"/>
              <w:rPr>
                <w:sz w:val="18"/>
                <w:szCs w:val="18"/>
                <w:lang w:val="en-US"/>
              </w:rPr>
            </w:pPr>
            <w:r w:rsidRPr="00375F64">
              <w:rPr>
                <w:sz w:val="18"/>
                <w:szCs w:val="18"/>
                <w:lang w:val="en-US"/>
              </w:rPr>
              <w:t>IPF-B03 Electrical and magnetism</w:t>
            </w:r>
          </w:p>
        </w:tc>
        <w:tc>
          <w:tcPr>
            <w:tcW w:w="1318" w:type="dxa"/>
            <w:vAlign w:val="center"/>
          </w:tcPr>
          <w:p w14:paraId="56B4576C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988" w:type="dxa"/>
            <w:vAlign w:val="center"/>
          </w:tcPr>
          <w:p w14:paraId="5F8AADBD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165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6380DE4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105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0F79C2B1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270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14:paraId="4D2EB221" w14:textId="77777777" w:rsidR="0080438E" w:rsidRPr="00375F64" w:rsidRDefault="0080438E" w:rsidP="003D443B">
            <w:pPr>
              <w:jc w:val="both"/>
              <w:rPr>
                <w:sz w:val="18"/>
                <w:szCs w:val="18"/>
              </w:rPr>
            </w:pPr>
            <w:proofErr w:type="spellStart"/>
            <w:r w:rsidRPr="00375F64">
              <w:rPr>
                <w:sz w:val="18"/>
                <w:szCs w:val="18"/>
              </w:rPr>
              <w:t>written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3746DD0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8</w:t>
            </w:r>
          </w:p>
        </w:tc>
      </w:tr>
      <w:tr w:rsidR="0080438E" w:rsidRPr="00375F64" w14:paraId="705BA693" w14:textId="77777777" w:rsidTr="00375F64">
        <w:trPr>
          <w:jc w:val="center"/>
        </w:trPr>
        <w:tc>
          <w:tcPr>
            <w:tcW w:w="2444" w:type="dxa"/>
          </w:tcPr>
          <w:p w14:paraId="0D005208" w14:textId="77777777" w:rsidR="0080438E" w:rsidRPr="00375F64" w:rsidRDefault="0080438E" w:rsidP="003D443B">
            <w:pPr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 xml:space="preserve">IPF-B10 - </w:t>
            </w:r>
            <w:proofErr w:type="spellStart"/>
            <w:r w:rsidRPr="00375F64">
              <w:rPr>
                <w:sz w:val="18"/>
                <w:szCs w:val="18"/>
              </w:rPr>
              <w:t>Analytical</w:t>
            </w:r>
            <w:proofErr w:type="spellEnd"/>
            <w:r w:rsidRPr="00375F64">
              <w:rPr>
                <w:sz w:val="18"/>
                <w:szCs w:val="18"/>
              </w:rPr>
              <w:t xml:space="preserve"> </w:t>
            </w:r>
            <w:proofErr w:type="spellStart"/>
            <w:r w:rsidRPr="00375F64">
              <w:rPr>
                <w:sz w:val="18"/>
                <w:szCs w:val="18"/>
              </w:rPr>
              <w:t>Geometry</w:t>
            </w:r>
            <w:proofErr w:type="spellEnd"/>
          </w:p>
        </w:tc>
        <w:tc>
          <w:tcPr>
            <w:tcW w:w="1318" w:type="dxa"/>
            <w:vAlign w:val="center"/>
          </w:tcPr>
          <w:p w14:paraId="6057A331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988" w:type="dxa"/>
            <w:vAlign w:val="center"/>
          </w:tcPr>
          <w:p w14:paraId="1D1C880A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75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A9B970F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45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6DFF19D3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120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14:paraId="6E8EABC3" w14:textId="77777777" w:rsidR="0080438E" w:rsidRPr="00375F64" w:rsidRDefault="0080438E" w:rsidP="003D443B">
            <w:pPr>
              <w:jc w:val="both"/>
              <w:rPr>
                <w:sz w:val="18"/>
                <w:szCs w:val="18"/>
              </w:rPr>
            </w:pPr>
            <w:proofErr w:type="spellStart"/>
            <w:r w:rsidRPr="00375F64">
              <w:rPr>
                <w:sz w:val="18"/>
                <w:szCs w:val="18"/>
              </w:rPr>
              <w:t>written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2603845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5</w:t>
            </w:r>
          </w:p>
        </w:tc>
      </w:tr>
      <w:tr w:rsidR="0080438E" w:rsidRPr="00375F64" w14:paraId="799F8358" w14:textId="77777777" w:rsidTr="00375F64">
        <w:trPr>
          <w:jc w:val="center"/>
        </w:trPr>
        <w:tc>
          <w:tcPr>
            <w:tcW w:w="2444" w:type="dxa"/>
          </w:tcPr>
          <w:p w14:paraId="07124AD2" w14:textId="77777777" w:rsidR="0080438E" w:rsidRPr="00375F64" w:rsidRDefault="0080438E" w:rsidP="003D443B">
            <w:pPr>
              <w:jc w:val="both"/>
              <w:rPr>
                <w:sz w:val="18"/>
                <w:szCs w:val="18"/>
                <w:lang w:val="en-US"/>
              </w:rPr>
            </w:pPr>
            <w:r w:rsidRPr="00375F64">
              <w:rPr>
                <w:sz w:val="18"/>
                <w:szCs w:val="18"/>
                <w:lang w:val="en-US"/>
              </w:rPr>
              <w:t>IPF-B11 -Differential and Integral Equations</w:t>
            </w:r>
          </w:p>
        </w:tc>
        <w:tc>
          <w:tcPr>
            <w:tcW w:w="1318" w:type="dxa"/>
            <w:tcBorders>
              <w:bottom w:val="single" w:sz="4" w:space="0" w:color="000000"/>
            </w:tcBorders>
            <w:vAlign w:val="center"/>
          </w:tcPr>
          <w:p w14:paraId="63CCFFAD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988" w:type="dxa"/>
            <w:tcBorders>
              <w:bottom w:val="single" w:sz="4" w:space="0" w:color="000000"/>
            </w:tcBorders>
            <w:vAlign w:val="center"/>
          </w:tcPr>
          <w:p w14:paraId="4A798230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60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2844C52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60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870BA50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120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000000"/>
            </w:tcBorders>
          </w:tcPr>
          <w:p w14:paraId="37A83E58" w14:textId="77777777" w:rsidR="0080438E" w:rsidRPr="00375F64" w:rsidRDefault="0080438E" w:rsidP="003D443B">
            <w:pPr>
              <w:jc w:val="both"/>
              <w:rPr>
                <w:sz w:val="18"/>
                <w:szCs w:val="18"/>
              </w:rPr>
            </w:pPr>
            <w:proofErr w:type="spellStart"/>
            <w:r w:rsidRPr="00375F64">
              <w:rPr>
                <w:sz w:val="18"/>
                <w:szCs w:val="18"/>
              </w:rPr>
              <w:t>written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C6C810C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5</w:t>
            </w:r>
          </w:p>
        </w:tc>
      </w:tr>
      <w:tr w:rsidR="0080438E" w:rsidRPr="00375F64" w14:paraId="3330C7E4" w14:textId="77777777" w:rsidTr="00375F64">
        <w:trPr>
          <w:jc w:val="center"/>
        </w:trPr>
        <w:tc>
          <w:tcPr>
            <w:tcW w:w="2444" w:type="dxa"/>
          </w:tcPr>
          <w:p w14:paraId="777ECCF0" w14:textId="77777777" w:rsidR="0080438E" w:rsidRPr="00375F64" w:rsidRDefault="0080438E" w:rsidP="003D443B">
            <w:pPr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IPF-B13-Informatics</w:t>
            </w:r>
          </w:p>
        </w:tc>
        <w:tc>
          <w:tcPr>
            <w:tcW w:w="1318" w:type="dxa"/>
            <w:vAlign w:val="center"/>
          </w:tcPr>
          <w:p w14:paraId="56890AB2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988" w:type="dxa"/>
            <w:vAlign w:val="center"/>
          </w:tcPr>
          <w:p w14:paraId="626C4413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60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E7C7EF1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60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391ECEEC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120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14:paraId="6DF518CF" w14:textId="77777777" w:rsidR="0080438E" w:rsidRPr="00375F64" w:rsidRDefault="0080438E" w:rsidP="003D443B">
            <w:pPr>
              <w:jc w:val="both"/>
              <w:rPr>
                <w:sz w:val="18"/>
                <w:szCs w:val="18"/>
              </w:rPr>
            </w:pPr>
            <w:proofErr w:type="spellStart"/>
            <w:r w:rsidRPr="00375F64">
              <w:rPr>
                <w:sz w:val="18"/>
                <w:szCs w:val="18"/>
              </w:rPr>
              <w:t>written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EC5BEAC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5</w:t>
            </w:r>
          </w:p>
        </w:tc>
      </w:tr>
      <w:tr w:rsidR="0080438E" w:rsidRPr="00375F64" w14:paraId="0A42BEDE" w14:textId="77777777" w:rsidTr="00375F64">
        <w:trPr>
          <w:jc w:val="center"/>
        </w:trPr>
        <w:tc>
          <w:tcPr>
            <w:tcW w:w="2444" w:type="dxa"/>
          </w:tcPr>
          <w:p w14:paraId="717155F5" w14:textId="77777777" w:rsidR="0080438E" w:rsidRPr="00375F64" w:rsidRDefault="0080438E" w:rsidP="003D443B">
            <w:pPr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 xml:space="preserve">IPF-B15 - </w:t>
            </w:r>
            <w:proofErr w:type="spellStart"/>
            <w:r w:rsidRPr="00375F64">
              <w:rPr>
                <w:sz w:val="18"/>
                <w:szCs w:val="18"/>
              </w:rPr>
              <w:t>Astronomy</w:t>
            </w:r>
            <w:proofErr w:type="spellEnd"/>
          </w:p>
        </w:tc>
        <w:tc>
          <w:tcPr>
            <w:tcW w:w="1318" w:type="dxa"/>
            <w:vAlign w:val="center"/>
          </w:tcPr>
          <w:p w14:paraId="23FB99EE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4</w:t>
            </w:r>
          </w:p>
        </w:tc>
        <w:tc>
          <w:tcPr>
            <w:tcW w:w="988" w:type="dxa"/>
            <w:vAlign w:val="center"/>
          </w:tcPr>
          <w:p w14:paraId="064D181B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150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56A272B6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90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3117A515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14:paraId="7324DEDB" w14:textId="77777777" w:rsidR="0080438E" w:rsidRPr="00375F64" w:rsidRDefault="0080438E" w:rsidP="003D443B">
            <w:pPr>
              <w:jc w:val="both"/>
              <w:rPr>
                <w:sz w:val="18"/>
                <w:szCs w:val="18"/>
              </w:rPr>
            </w:pPr>
            <w:proofErr w:type="spellStart"/>
            <w:r w:rsidRPr="00375F64">
              <w:rPr>
                <w:sz w:val="18"/>
                <w:szCs w:val="18"/>
              </w:rPr>
              <w:t>written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8867BA8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5</w:t>
            </w:r>
          </w:p>
        </w:tc>
      </w:tr>
      <w:tr w:rsidR="0080438E" w:rsidRPr="00375F64" w14:paraId="06BC770A" w14:textId="77777777" w:rsidTr="00375F64">
        <w:trPr>
          <w:jc w:val="center"/>
        </w:trPr>
        <w:tc>
          <w:tcPr>
            <w:tcW w:w="2444" w:type="dxa"/>
            <w:vAlign w:val="center"/>
          </w:tcPr>
          <w:p w14:paraId="3DA0EE2A" w14:textId="77777777" w:rsidR="0080438E" w:rsidRPr="00375F64" w:rsidRDefault="0080438E" w:rsidP="003D44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375F64">
              <w:rPr>
                <w:b/>
                <w:sz w:val="18"/>
                <w:szCs w:val="18"/>
              </w:rPr>
              <w:t>Selected</w:t>
            </w:r>
            <w:proofErr w:type="spellEnd"/>
            <w:r w:rsidRPr="00375F6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5F64">
              <w:rPr>
                <w:b/>
                <w:sz w:val="18"/>
                <w:szCs w:val="18"/>
              </w:rPr>
              <w:t>subjects</w:t>
            </w:r>
            <w:proofErr w:type="spellEnd"/>
          </w:p>
        </w:tc>
        <w:tc>
          <w:tcPr>
            <w:tcW w:w="5495" w:type="dxa"/>
            <w:gridSpan w:val="5"/>
            <w:vAlign w:val="center"/>
          </w:tcPr>
          <w:p w14:paraId="61DD9ED7" w14:textId="77777777" w:rsidR="0080438E" w:rsidRPr="00375F64" w:rsidRDefault="0080438E" w:rsidP="003D443B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E23994A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0438E" w:rsidRPr="00375F64" w14:paraId="1C4254B8" w14:textId="77777777" w:rsidTr="00375F64">
        <w:trPr>
          <w:jc w:val="center"/>
        </w:trPr>
        <w:tc>
          <w:tcPr>
            <w:tcW w:w="2444" w:type="dxa"/>
            <w:vAlign w:val="center"/>
          </w:tcPr>
          <w:p w14:paraId="072F753B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375F64">
              <w:rPr>
                <w:sz w:val="18"/>
                <w:szCs w:val="18"/>
                <w:lang w:val="en-US"/>
              </w:rPr>
              <w:t>I block, İPFS-B03</w:t>
            </w:r>
          </w:p>
          <w:p w14:paraId="42B10D8F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14:paraId="1D61F879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4</w:t>
            </w:r>
          </w:p>
        </w:tc>
        <w:tc>
          <w:tcPr>
            <w:tcW w:w="988" w:type="dxa"/>
            <w:vAlign w:val="center"/>
          </w:tcPr>
          <w:p w14:paraId="52860569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60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A8A639C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60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2A1C490A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120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vAlign w:val="center"/>
          </w:tcPr>
          <w:p w14:paraId="1A2AD7BB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375F64">
              <w:rPr>
                <w:sz w:val="18"/>
                <w:szCs w:val="18"/>
              </w:rPr>
              <w:t>written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8A2E544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6</w:t>
            </w:r>
          </w:p>
        </w:tc>
      </w:tr>
      <w:tr w:rsidR="0080438E" w:rsidRPr="00375F64" w14:paraId="7D6F08DC" w14:textId="77777777" w:rsidTr="00375F64">
        <w:trPr>
          <w:jc w:val="center"/>
        </w:trPr>
        <w:tc>
          <w:tcPr>
            <w:tcW w:w="2444" w:type="dxa"/>
            <w:vAlign w:val="center"/>
          </w:tcPr>
          <w:p w14:paraId="37B8E9CA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375F64">
              <w:rPr>
                <w:sz w:val="18"/>
                <w:szCs w:val="18"/>
                <w:lang w:val="en-US"/>
              </w:rPr>
              <w:t>1 General chemistry</w:t>
            </w:r>
          </w:p>
          <w:p w14:paraId="4BEDC725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375F64">
              <w:rPr>
                <w:sz w:val="18"/>
                <w:szCs w:val="18"/>
                <w:lang w:val="en-US"/>
              </w:rPr>
              <w:t>2. Chemistry of elements</w:t>
            </w:r>
          </w:p>
        </w:tc>
        <w:tc>
          <w:tcPr>
            <w:tcW w:w="1318" w:type="dxa"/>
            <w:vAlign w:val="center"/>
          </w:tcPr>
          <w:p w14:paraId="7BFDAB55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vAlign w:val="center"/>
          </w:tcPr>
          <w:p w14:paraId="4DA2D45D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AB9D09E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5853FA0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vAlign w:val="center"/>
          </w:tcPr>
          <w:p w14:paraId="23E6AB47" w14:textId="77777777" w:rsidR="0080438E" w:rsidRPr="00375F64" w:rsidRDefault="0080438E" w:rsidP="003D443B">
            <w:pPr>
              <w:spacing w:after="0" w:line="240" w:lineRule="auto"/>
              <w:jc w:val="both"/>
              <w:rPr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3458793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0438E" w:rsidRPr="00375F64" w14:paraId="699ADE63" w14:textId="77777777" w:rsidTr="00375F64">
        <w:trPr>
          <w:jc w:val="center"/>
        </w:trPr>
        <w:tc>
          <w:tcPr>
            <w:tcW w:w="2444" w:type="dxa"/>
            <w:vAlign w:val="center"/>
          </w:tcPr>
          <w:p w14:paraId="27B3E6CB" w14:textId="77777777" w:rsidR="0080438E" w:rsidRPr="00375F64" w:rsidRDefault="0080438E" w:rsidP="003D443B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375F64">
              <w:rPr>
                <w:b/>
                <w:sz w:val="18"/>
                <w:szCs w:val="18"/>
                <w:lang w:val="en-US"/>
              </w:rPr>
              <w:t>Semester total</w:t>
            </w:r>
          </w:p>
        </w:tc>
        <w:tc>
          <w:tcPr>
            <w:tcW w:w="1318" w:type="dxa"/>
            <w:vAlign w:val="center"/>
          </w:tcPr>
          <w:p w14:paraId="3BA9D1CA" w14:textId="77777777" w:rsidR="0080438E" w:rsidRPr="00375F64" w:rsidRDefault="0080438E" w:rsidP="003D44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75F6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88" w:type="dxa"/>
            <w:vAlign w:val="center"/>
          </w:tcPr>
          <w:p w14:paraId="7CE1F644" w14:textId="77777777" w:rsidR="0080438E" w:rsidRPr="00375F64" w:rsidRDefault="0080438E" w:rsidP="003D44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75F64">
              <w:rPr>
                <w:b/>
                <w:sz w:val="18"/>
                <w:szCs w:val="18"/>
              </w:rPr>
              <w:t>570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03B17E46" w14:textId="77777777" w:rsidR="0080438E" w:rsidRPr="00375F64" w:rsidRDefault="0080438E" w:rsidP="003D44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75F64">
              <w:rPr>
                <w:b/>
                <w:sz w:val="18"/>
                <w:szCs w:val="18"/>
              </w:rPr>
              <w:t>420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B4608BD" w14:textId="77777777" w:rsidR="0080438E" w:rsidRPr="00375F64" w:rsidRDefault="0080438E" w:rsidP="003D44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75F64">
              <w:rPr>
                <w:b/>
                <w:sz w:val="18"/>
                <w:szCs w:val="18"/>
              </w:rPr>
              <w:t>990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vAlign w:val="center"/>
          </w:tcPr>
          <w:p w14:paraId="58CA152C" w14:textId="77777777" w:rsidR="0080438E" w:rsidRPr="00375F64" w:rsidRDefault="0080438E" w:rsidP="003D443B">
            <w:pPr>
              <w:spacing w:after="0" w:line="240" w:lineRule="auto"/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B9B2302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755273EC" w14:textId="77777777" w:rsidR="0080438E" w:rsidRPr="00375F64" w:rsidRDefault="0080438E" w:rsidP="00D944ED">
      <w:pPr>
        <w:spacing w:after="0"/>
        <w:jc w:val="both"/>
        <w:rPr>
          <w:rFonts w:cs="Times New Roman"/>
          <w:lang w:val="en-US"/>
        </w:rPr>
      </w:pPr>
    </w:p>
    <w:p w14:paraId="77361D84" w14:textId="77777777" w:rsidR="00593702" w:rsidRPr="00375F64" w:rsidRDefault="00593702" w:rsidP="0080438E">
      <w:pPr>
        <w:spacing w:after="0"/>
        <w:jc w:val="center"/>
        <w:rPr>
          <w:rFonts w:cs="Times New Roman"/>
          <w:b/>
          <w:lang w:val="en-US"/>
        </w:rPr>
      </w:pPr>
    </w:p>
    <w:p w14:paraId="721749A9" w14:textId="6736D132" w:rsidR="005B1D4A" w:rsidRPr="00375F64" w:rsidRDefault="0042720C" w:rsidP="0080438E">
      <w:pPr>
        <w:spacing w:after="0"/>
        <w:jc w:val="center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 xml:space="preserve">Figure </w:t>
      </w:r>
      <w:r w:rsidR="00EF3FD1" w:rsidRPr="00375F64">
        <w:rPr>
          <w:rFonts w:cs="Times New Roman"/>
          <w:b/>
          <w:lang w:val="en-US"/>
        </w:rPr>
        <w:t>1.</w:t>
      </w:r>
      <w:r w:rsidR="0080438E" w:rsidRPr="00375F64">
        <w:rPr>
          <w:rFonts w:cs="Times New Roman"/>
          <w:b/>
          <w:lang w:val="en-US"/>
        </w:rPr>
        <w:t>2</w:t>
      </w:r>
      <w:r w:rsidR="0080438E" w:rsidRPr="00375F64">
        <w:rPr>
          <w:rFonts w:cs="Times New Roman"/>
          <w:lang w:val="en-US"/>
        </w:rPr>
        <w:t xml:space="preserve"> : the study plan for bachelor program in physics at the French university of Nantes</w:t>
      </w:r>
    </w:p>
    <w:p w14:paraId="0271CA37" w14:textId="77777777" w:rsidR="00593702" w:rsidRPr="00375F64" w:rsidRDefault="00593702" w:rsidP="0080438E">
      <w:pPr>
        <w:spacing w:after="0"/>
        <w:jc w:val="center"/>
        <w:rPr>
          <w:rFonts w:cs="Times New Roman"/>
          <w:lang w:val="en-US"/>
        </w:rPr>
      </w:pPr>
    </w:p>
    <w:p w14:paraId="62675028" w14:textId="77777777" w:rsidR="0080438E" w:rsidRPr="00375F64" w:rsidRDefault="0080438E" w:rsidP="0080438E">
      <w:pPr>
        <w:rPr>
          <w:rFonts w:cs="Times New Roman"/>
          <w:b/>
        </w:rPr>
      </w:pPr>
      <w:r w:rsidRPr="00375F64">
        <w:rPr>
          <w:rFonts w:cs="Times New Roman"/>
          <w:b/>
        </w:rPr>
        <w:t>SEMESTER 1</w:t>
      </w:r>
    </w:p>
    <w:p w14:paraId="307B06DF" w14:textId="77777777" w:rsidR="0080438E" w:rsidRPr="00375F64" w:rsidRDefault="0080438E" w:rsidP="0080438E">
      <w:pPr>
        <w:pStyle w:val="Paragraphedeliste"/>
        <w:numPr>
          <w:ilvl w:val="0"/>
          <w:numId w:val="6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 xml:space="preserve">1 : </w:t>
      </w:r>
      <w:r w:rsidRPr="00375F64">
        <w:rPr>
          <w:rFonts w:cs="Times New Roman"/>
          <w:lang w:val="en-US"/>
        </w:rPr>
        <w:t>English ; 16h 2 ECTS credits</w:t>
      </w:r>
    </w:p>
    <w:p w14:paraId="7AC3588C" w14:textId="77777777" w:rsidR="0080438E" w:rsidRPr="00375F64" w:rsidRDefault="0080438E" w:rsidP="0080438E">
      <w:pPr>
        <w:pStyle w:val="Paragraphedeliste"/>
        <w:numPr>
          <w:ilvl w:val="0"/>
          <w:numId w:val="6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2 :</w:t>
      </w:r>
      <w:r w:rsidRPr="00375F64">
        <w:rPr>
          <w:rFonts w:cs="Times New Roman"/>
          <w:lang w:val="en-US"/>
        </w:rPr>
        <w:t xml:space="preserve"> Methodology, digital tools ; 20h  2 ECTS credits</w:t>
      </w:r>
    </w:p>
    <w:p w14:paraId="3328F443" w14:textId="77777777" w:rsidR="0080438E" w:rsidRPr="00375F64" w:rsidRDefault="0080438E" w:rsidP="0080438E">
      <w:pPr>
        <w:pStyle w:val="Paragraphedeliste"/>
        <w:numPr>
          <w:ilvl w:val="0"/>
          <w:numId w:val="6"/>
        </w:numPr>
        <w:rPr>
          <w:rFonts w:cs="Times New Roman"/>
          <w:color w:val="FF0000"/>
          <w:lang w:val="en-US"/>
        </w:rPr>
      </w:pPr>
      <w:r w:rsidRPr="00375F64">
        <w:rPr>
          <w:rFonts w:cs="Times New Roman"/>
          <w:b/>
          <w:color w:val="FF0000"/>
          <w:lang w:val="en-US"/>
        </w:rPr>
        <w:t>UE</w:t>
      </w:r>
      <w:r w:rsidR="00593702" w:rsidRPr="00375F64">
        <w:rPr>
          <w:rFonts w:cs="Times New Roman"/>
          <w:b/>
          <w:color w:val="FF0000"/>
          <w:lang w:val="en-US"/>
        </w:rPr>
        <w:t xml:space="preserve"> </w:t>
      </w:r>
      <w:r w:rsidRPr="00375F64">
        <w:rPr>
          <w:rFonts w:cs="Times New Roman"/>
          <w:b/>
          <w:color w:val="FF0000"/>
          <w:lang w:val="en-US"/>
        </w:rPr>
        <w:t xml:space="preserve">3 : </w:t>
      </w:r>
      <w:r w:rsidRPr="00375F64">
        <w:rPr>
          <w:rFonts w:cs="Times New Roman"/>
          <w:color w:val="FF0000"/>
          <w:lang w:val="en-US"/>
        </w:rPr>
        <w:t>Chemistry : atom, bonds, molecule ; 36h 5 ECTS credits</w:t>
      </w:r>
    </w:p>
    <w:p w14:paraId="452F7C7D" w14:textId="77777777" w:rsidR="0080438E" w:rsidRPr="00375F64" w:rsidRDefault="0080438E" w:rsidP="0080438E">
      <w:pPr>
        <w:pStyle w:val="Paragraphedeliste"/>
        <w:numPr>
          <w:ilvl w:val="0"/>
          <w:numId w:val="6"/>
        </w:numPr>
        <w:rPr>
          <w:rFonts w:cs="Times New Roman"/>
          <w:color w:val="FF0000"/>
          <w:lang w:val="en-US"/>
        </w:rPr>
      </w:pPr>
      <w:r w:rsidRPr="00375F64">
        <w:rPr>
          <w:rFonts w:cs="Times New Roman"/>
          <w:b/>
          <w:color w:val="FF0000"/>
          <w:lang w:val="en-US"/>
        </w:rPr>
        <w:t>UE</w:t>
      </w:r>
      <w:r w:rsidR="00593702" w:rsidRPr="00375F64">
        <w:rPr>
          <w:rFonts w:cs="Times New Roman"/>
          <w:b/>
          <w:color w:val="FF0000"/>
          <w:lang w:val="en-US"/>
        </w:rPr>
        <w:t xml:space="preserve"> </w:t>
      </w:r>
      <w:r w:rsidRPr="00375F64">
        <w:rPr>
          <w:rFonts w:cs="Times New Roman"/>
          <w:b/>
          <w:color w:val="FF0000"/>
          <w:lang w:val="en-US"/>
        </w:rPr>
        <w:t xml:space="preserve">4 </w:t>
      </w:r>
      <w:r w:rsidRPr="00375F64">
        <w:rPr>
          <w:rFonts w:cs="Times New Roman"/>
          <w:color w:val="FF0000"/>
          <w:lang w:val="en-US"/>
        </w:rPr>
        <w:t>: Informatics; 36h 5 ECTS credits</w:t>
      </w:r>
    </w:p>
    <w:p w14:paraId="49C7B28F" w14:textId="77777777" w:rsidR="0080438E" w:rsidRPr="00375F64" w:rsidRDefault="0080438E" w:rsidP="0080438E">
      <w:pPr>
        <w:pStyle w:val="Paragraphedeliste"/>
        <w:numPr>
          <w:ilvl w:val="0"/>
          <w:numId w:val="6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 xml:space="preserve">5 </w:t>
      </w:r>
      <w:r w:rsidRPr="00375F64">
        <w:rPr>
          <w:rFonts w:cs="Times New Roman"/>
          <w:lang w:val="en-US"/>
        </w:rPr>
        <w:t>: Mathematics ; 48h 5 ECTS credits</w:t>
      </w:r>
    </w:p>
    <w:p w14:paraId="0D19E80D" w14:textId="77777777" w:rsidR="0080438E" w:rsidRPr="00375F64" w:rsidRDefault="0080438E" w:rsidP="0080438E">
      <w:pPr>
        <w:pStyle w:val="Paragraphedeliste"/>
        <w:numPr>
          <w:ilvl w:val="0"/>
          <w:numId w:val="6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 xml:space="preserve">6 </w:t>
      </w:r>
      <w:r w:rsidRPr="00375F64">
        <w:rPr>
          <w:rFonts w:cs="Times New Roman"/>
          <w:lang w:val="en-US"/>
        </w:rPr>
        <w:t>:Calculating tools for sciences ; 18h 3 ECTS credits</w:t>
      </w:r>
    </w:p>
    <w:p w14:paraId="35E7F4DE" w14:textId="77777777" w:rsidR="0080438E" w:rsidRPr="00375F64" w:rsidRDefault="0080438E" w:rsidP="0080438E">
      <w:pPr>
        <w:pStyle w:val="Paragraphedeliste"/>
        <w:numPr>
          <w:ilvl w:val="0"/>
          <w:numId w:val="6"/>
        </w:numPr>
        <w:rPr>
          <w:rFonts w:cs="Times New Roman"/>
          <w:color w:val="FF0000"/>
          <w:lang w:val="en-US"/>
        </w:rPr>
      </w:pPr>
      <w:r w:rsidRPr="00375F64">
        <w:rPr>
          <w:rFonts w:cs="Times New Roman"/>
          <w:b/>
          <w:color w:val="FF0000"/>
          <w:lang w:val="en-US"/>
        </w:rPr>
        <w:t xml:space="preserve">UE 7 </w:t>
      </w:r>
      <w:r w:rsidRPr="00375F64">
        <w:rPr>
          <w:rFonts w:cs="Times New Roman"/>
          <w:color w:val="FF0000"/>
          <w:lang w:val="en-US"/>
        </w:rPr>
        <w:t>: Universe Sciences ; 18h 3 ECTS Credits</w:t>
      </w:r>
    </w:p>
    <w:p w14:paraId="1EA9C0B1" w14:textId="77777777" w:rsidR="00593702" w:rsidRPr="00375F64" w:rsidRDefault="0080438E" w:rsidP="00593702">
      <w:pPr>
        <w:pStyle w:val="Paragraphedeliste"/>
        <w:numPr>
          <w:ilvl w:val="0"/>
          <w:numId w:val="6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 xml:space="preserve">UE 8 </w:t>
      </w:r>
      <w:r w:rsidRPr="00375F64">
        <w:rPr>
          <w:rFonts w:cs="Times New Roman"/>
          <w:lang w:val="en-US"/>
        </w:rPr>
        <w:t xml:space="preserve">: Physics : electricity, material point </w:t>
      </w:r>
      <w:proofErr w:type="spellStart"/>
      <w:r w:rsidRPr="00375F64">
        <w:rPr>
          <w:rFonts w:cs="Times New Roman"/>
          <w:lang w:val="en-US"/>
        </w:rPr>
        <w:t>mecanichs</w:t>
      </w:r>
      <w:proofErr w:type="spellEnd"/>
      <w:r w:rsidRPr="00375F64">
        <w:rPr>
          <w:rFonts w:cs="Times New Roman"/>
          <w:lang w:val="en-US"/>
        </w:rPr>
        <w:t>, conferences; 36h 5ECTS credits</w:t>
      </w:r>
    </w:p>
    <w:p w14:paraId="71520A2F" w14:textId="77777777" w:rsidR="0080438E" w:rsidRPr="00375F64" w:rsidRDefault="0080438E" w:rsidP="0080438E">
      <w:pPr>
        <w:rPr>
          <w:rFonts w:cs="Times New Roman"/>
          <w:b/>
        </w:rPr>
      </w:pPr>
      <w:r w:rsidRPr="00375F64">
        <w:rPr>
          <w:rFonts w:cs="Times New Roman"/>
          <w:b/>
        </w:rPr>
        <w:t>SEMESTER 2</w:t>
      </w:r>
    </w:p>
    <w:p w14:paraId="735D9CA4" w14:textId="77777777" w:rsidR="0080438E" w:rsidRPr="00375F64" w:rsidRDefault="0080438E" w:rsidP="0080438E">
      <w:pPr>
        <w:pStyle w:val="Paragraphedeliste"/>
        <w:numPr>
          <w:ilvl w:val="0"/>
          <w:numId w:val="7"/>
        </w:numPr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Chemistry –Physics Group (27 ECTS credits)</w:t>
      </w:r>
    </w:p>
    <w:p w14:paraId="694F2B3F" w14:textId="77777777" w:rsidR="0080438E" w:rsidRPr="00375F64" w:rsidRDefault="0080438E" w:rsidP="0080438E">
      <w:pPr>
        <w:pStyle w:val="Paragraphedeliste"/>
        <w:numPr>
          <w:ilvl w:val="0"/>
          <w:numId w:val="12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1 :</w:t>
      </w:r>
      <w:proofErr w:type="spellStart"/>
      <w:r w:rsidRPr="00375F64">
        <w:rPr>
          <w:rFonts w:cs="Times New Roman"/>
          <w:lang w:val="en-US"/>
        </w:rPr>
        <w:t>english</w:t>
      </w:r>
      <w:proofErr w:type="spellEnd"/>
      <w:r w:rsidRPr="00375F64">
        <w:rPr>
          <w:rFonts w:cs="Times New Roman"/>
          <w:lang w:val="en-US"/>
        </w:rPr>
        <w:t> ; 16h 3 ECTS credits</w:t>
      </w:r>
    </w:p>
    <w:p w14:paraId="1D3B10D7" w14:textId="77777777" w:rsidR="0080438E" w:rsidRPr="00375F64" w:rsidRDefault="0080438E" w:rsidP="0080438E">
      <w:pPr>
        <w:pStyle w:val="Paragraphedeliste"/>
        <w:numPr>
          <w:ilvl w:val="0"/>
          <w:numId w:val="8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lastRenderedPageBreak/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2</w:t>
      </w:r>
      <w:r w:rsidRPr="00375F64">
        <w:rPr>
          <w:rFonts w:cs="Times New Roman"/>
          <w:lang w:val="en-US"/>
        </w:rPr>
        <w:t> :thermochemistry ; 36 h 4 ECTS credits</w:t>
      </w:r>
    </w:p>
    <w:p w14:paraId="7E01D2BB" w14:textId="77777777" w:rsidR="0080438E" w:rsidRPr="00375F64" w:rsidRDefault="0080438E" w:rsidP="0080438E">
      <w:pPr>
        <w:pStyle w:val="Paragraphedeliste"/>
        <w:numPr>
          <w:ilvl w:val="0"/>
          <w:numId w:val="8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3 </w:t>
      </w:r>
      <w:r w:rsidRPr="00375F64">
        <w:rPr>
          <w:rFonts w:cs="Times New Roman"/>
          <w:lang w:val="en-US"/>
        </w:rPr>
        <w:t>:organic and  inorganic chemistry ; 36h  4 ECTS credits</w:t>
      </w:r>
    </w:p>
    <w:p w14:paraId="26FE4CD7" w14:textId="77777777" w:rsidR="0080438E" w:rsidRPr="00375F64" w:rsidRDefault="0080438E" w:rsidP="0080438E">
      <w:pPr>
        <w:pStyle w:val="Paragraphedeliste"/>
        <w:numPr>
          <w:ilvl w:val="0"/>
          <w:numId w:val="8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4 </w:t>
      </w:r>
      <w:r w:rsidRPr="00375F64">
        <w:rPr>
          <w:rFonts w:cs="Times New Roman"/>
          <w:lang w:val="en-US"/>
        </w:rPr>
        <w:t>: work practices in laboratory (chemistry) ; 36h 4 ECTS credits</w:t>
      </w:r>
    </w:p>
    <w:p w14:paraId="04D6A628" w14:textId="77777777" w:rsidR="0080438E" w:rsidRPr="00375F64" w:rsidRDefault="0080438E" w:rsidP="0080438E">
      <w:pPr>
        <w:pStyle w:val="Paragraphedeliste"/>
        <w:numPr>
          <w:ilvl w:val="0"/>
          <w:numId w:val="8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5</w:t>
      </w:r>
      <w:r w:rsidRPr="00375F64">
        <w:rPr>
          <w:rFonts w:cs="Times New Roman"/>
          <w:lang w:val="en-US"/>
        </w:rPr>
        <w:t> : mathematics tools ; 36h 4 ECTS credits</w:t>
      </w:r>
    </w:p>
    <w:p w14:paraId="39B0FC09" w14:textId="77777777" w:rsidR="0080438E" w:rsidRPr="00375F64" w:rsidRDefault="0080438E" w:rsidP="0080438E">
      <w:pPr>
        <w:pStyle w:val="Paragraphedeliste"/>
        <w:numPr>
          <w:ilvl w:val="0"/>
          <w:numId w:val="8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6 </w:t>
      </w:r>
      <w:r w:rsidRPr="00375F64">
        <w:rPr>
          <w:rFonts w:cs="Times New Roman"/>
          <w:lang w:val="en-US"/>
        </w:rPr>
        <w:t>: introduction to thermodynamics ; 36h 4 ECTS credits</w:t>
      </w:r>
    </w:p>
    <w:p w14:paraId="55C1C540" w14:textId="77777777" w:rsidR="0080438E" w:rsidRPr="00375F64" w:rsidRDefault="0080438E" w:rsidP="0080438E">
      <w:pPr>
        <w:pStyle w:val="Paragraphedeliste"/>
        <w:numPr>
          <w:ilvl w:val="0"/>
          <w:numId w:val="8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7 </w:t>
      </w:r>
      <w:r w:rsidRPr="00375F64">
        <w:rPr>
          <w:rFonts w:cs="Times New Roman"/>
          <w:b/>
          <w:i/>
          <w:lang w:val="en-US"/>
        </w:rPr>
        <w:t>:</w:t>
      </w:r>
      <w:r w:rsidRPr="00375F64">
        <w:rPr>
          <w:rFonts w:cs="Times New Roman"/>
          <w:lang w:val="en-US"/>
        </w:rPr>
        <w:t>experimental physics 1 ; 19 h 2 ECTS credits</w:t>
      </w:r>
    </w:p>
    <w:p w14:paraId="05B91C3E" w14:textId="77777777" w:rsidR="0080438E" w:rsidRPr="00375F64" w:rsidRDefault="0080438E" w:rsidP="0080438E">
      <w:pPr>
        <w:pStyle w:val="Paragraphedeliste"/>
        <w:numPr>
          <w:ilvl w:val="0"/>
          <w:numId w:val="8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8 :</w:t>
      </w:r>
      <w:r w:rsidRPr="00375F64">
        <w:rPr>
          <w:rFonts w:cs="Times New Roman"/>
          <w:lang w:val="en-US"/>
        </w:rPr>
        <w:t xml:space="preserve"> mechanics 1; 18h 2 ECTS  credits</w:t>
      </w:r>
    </w:p>
    <w:p w14:paraId="297D30E5" w14:textId="77777777" w:rsidR="0080438E" w:rsidRPr="00375F64" w:rsidRDefault="0080438E" w:rsidP="0080438E">
      <w:pPr>
        <w:pStyle w:val="Paragraphedeliste"/>
        <w:numPr>
          <w:ilvl w:val="0"/>
          <w:numId w:val="7"/>
        </w:numPr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History of sciences Group (3 ECTS credits).</w:t>
      </w:r>
    </w:p>
    <w:p w14:paraId="42C987C6" w14:textId="77777777" w:rsidR="0080438E" w:rsidRPr="00375F64" w:rsidRDefault="0080438E" w:rsidP="0080438E">
      <w:pPr>
        <w:pStyle w:val="Paragraphedeliste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To choose one among :</w:t>
      </w:r>
    </w:p>
    <w:p w14:paraId="486A94D1" w14:textId="77777777" w:rsidR="0080438E" w:rsidRPr="00375F64" w:rsidRDefault="0080438E" w:rsidP="0080438E">
      <w:pPr>
        <w:pStyle w:val="Paragraphedeliste"/>
        <w:numPr>
          <w:ilvl w:val="0"/>
          <w:numId w:val="9"/>
        </w:numPr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1</w:t>
      </w:r>
      <w:r w:rsidRPr="00375F64">
        <w:rPr>
          <w:rFonts w:cs="Times New Roman"/>
          <w:lang w:val="en-US"/>
        </w:rPr>
        <w:t> :matter and energy ; 20h 3 ECTS credits</w:t>
      </w:r>
    </w:p>
    <w:p w14:paraId="3BDBE041" w14:textId="77777777" w:rsidR="0080438E" w:rsidRPr="00375F64" w:rsidRDefault="0080438E" w:rsidP="0080438E">
      <w:pPr>
        <w:pStyle w:val="Paragraphedeliste"/>
        <w:numPr>
          <w:ilvl w:val="0"/>
          <w:numId w:val="9"/>
        </w:numPr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 xml:space="preserve">UE </w:t>
      </w:r>
      <w:r w:rsidRPr="00375F64">
        <w:rPr>
          <w:rFonts w:cs="Times New Roman"/>
          <w:lang w:val="en-US"/>
        </w:rPr>
        <w:t>2 : knowledge and innovation ; 20h 3 ECTS credits</w:t>
      </w:r>
    </w:p>
    <w:p w14:paraId="7D36FEA4" w14:textId="77777777" w:rsidR="0080438E" w:rsidRPr="00375F64" w:rsidRDefault="0080438E" w:rsidP="0080438E">
      <w:pPr>
        <w:pStyle w:val="Paragraphedeliste"/>
        <w:numPr>
          <w:ilvl w:val="0"/>
          <w:numId w:val="9"/>
        </w:numPr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UE 3 </w:t>
      </w:r>
      <w:r w:rsidRPr="00375F64">
        <w:rPr>
          <w:rFonts w:cs="Times New Roman"/>
          <w:lang w:val="en-US"/>
        </w:rPr>
        <w:t>:different ways of scientist reasoning ; 20h 3 ECTS credits</w:t>
      </w:r>
    </w:p>
    <w:p w14:paraId="41D3E266" w14:textId="77777777" w:rsidR="0080438E" w:rsidRPr="00375F64" w:rsidRDefault="0080438E" w:rsidP="0080438E">
      <w:pPr>
        <w:rPr>
          <w:rFonts w:cs="Times New Roman"/>
          <w:b/>
        </w:rPr>
      </w:pPr>
      <w:r w:rsidRPr="00375F64">
        <w:rPr>
          <w:rFonts w:cs="Times New Roman"/>
          <w:b/>
        </w:rPr>
        <w:t>SEMESTER 3</w:t>
      </w:r>
    </w:p>
    <w:p w14:paraId="78A1309A" w14:textId="77777777" w:rsidR="0080438E" w:rsidRPr="00375F64" w:rsidRDefault="0080438E" w:rsidP="0080438E">
      <w:pPr>
        <w:pStyle w:val="Paragraphedeliste"/>
        <w:numPr>
          <w:ilvl w:val="0"/>
          <w:numId w:val="10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1 </w:t>
      </w:r>
      <w:r w:rsidRPr="00375F64">
        <w:rPr>
          <w:rFonts w:cs="Times New Roman"/>
          <w:lang w:val="en-US"/>
        </w:rPr>
        <w:t xml:space="preserve">: </w:t>
      </w:r>
      <w:proofErr w:type="spellStart"/>
      <w:r w:rsidRPr="00375F64">
        <w:rPr>
          <w:rFonts w:cs="Times New Roman"/>
          <w:lang w:val="en-US"/>
        </w:rPr>
        <w:t>english</w:t>
      </w:r>
      <w:proofErr w:type="spellEnd"/>
      <w:r w:rsidRPr="00375F64">
        <w:rPr>
          <w:rFonts w:cs="Times New Roman"/>
          <w:lang w:val="en-US"/>
        </w:rPr>
        <w:t> ; 16 h 2 ECTS credits</w:t>
      </w:r>
    </w:p>
    <w:p w14:paraId="5AD28412" w14:textId="77777777" w:rsidR="0080438E" w:rsidRPr="00375F64" w:rsidRDefault="0080438E" w:rsidP="0080438E">
      <w:pPr>
        <w:pStyle w:val="Paragraphedeliste"/>
        <w:numPr>
          <w:ilvl w:val="0"/>
          <w:numId w:val="10"/>
        </w:numPr>
        <w:rPr>
          <w:rFonts w:cs="Times New Roman"/>
          <w:color w:val="FF0000"/>
          <w:lang w:val="en-US"/>
        </w:rPr>
      </w:pPr>
      <w:r w:rsidRPr="00375F64">
        <w:rPr>
          <w:rFonts w:cs="Times New Roman"/>
          <w:b/>
          <w:color w:val="FF0000"/>
          <w:lang w:val="en-US"/>
        </w:rPr>
        <w:t>UE</w:t>
      </w:r>
      <w:r w:rsidR="00593702" w:rsidRPr="00375F64">
        <w:rPr>
          <w:rFonts w:cs="Times New Roman"/>
          <w:b/>
          <w:color w:val="FF0000"/>
          <w:lang w:val="en-US"/>
        </w:rPr>
        <w:t xml:space="preserve"> </w:t>
      </w:r>
      <w:r w:rsidRPr="00375F64">
        <w:rPr>
          <w:rFonts w:cs="Times New Roman"/>
          <w:b/>
          <w:color w:val="FF0000"/>
          <w:lang w:val="en-US"/>
        </w:rPr>
        <w:t>2 </w:t>
      </w:r>
      <w:r w:rsidRPr="00375F64">
        <w:rPr>
          <w:rFonts w:cs="Times New Roman"/>
          <w:color w:val="FF0000"/>
          <w:lang w:val="en-US"/>
        </w:rPr>
        <w:t>: electromagnetism ; 40 h 5 ECTS credits</w:t>
      </w:r>
    </w:p>
    <w:p w14:paraId="592197C1" w14:textId="77777777" w:rsidR="0080438E" w:rsidRPr="00375F64" w:rsidRDefault="0080438E" w:rsidP="0080438E">
      <w:pPr>
        <w:pStyle w:val="Paragraphedeliste"/>
        <w:numPr>
          <w:ilvl w:val="0"/>
          <w:numId w:val="10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3 </w:t>
      </w:r>
      <w:r w:rsidRPr="00375F64">
        <w:rPr>
          <w:rFonts w:cs="Times New Roman"/>
          <w:lang w:val="en-US"/>
        </w:rPr>
        <w:t>: general mec</w:t>
      </w:r>
      <w:r w:rsidR="0055255A" w:rsidRPr="00375F64">
        <w:rPr>
          <w:rFonts w:cs="Times New Roman"/>
          <w:lang w:val="en-US"/>
        </w:rPr>
        <w:t>h</w:t>
      </w:r>
      <w:r w:rsidRPr="00375F64">
        <w:rPr>
          <w:rFonts w:cs="Times New Roman"/>
          <w:lang w:val="en-US"/>
        </w:rPr>
        <w:t>anics 1, statics of solids and  systems ; 20h 2 ECTS credits</w:t>
      </w:r>
    </w:p>
    <w:p w14:paraId="78C7B28F" w14:textId="77777777" w:rsidR="0080438E" w:rsidRPr="00375F64" w:rsidRDefault="0080438E" w:rsidP="0080438E">
      <w:pPr>
        <w:pStyle w:val="Paragraphedeliste"/>
        <w:numPr>
          <w:ilvl w:val="0"/>
          <w:numId w:val="10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 xml:space="preserve">4 </w:t>
      </w:r>
      <w:r w:rsidRPr="00375F64">
        <w:rPr>
          <w:rFonts w:cs="Times New Roman"/>
          <w:lang w:val="en-US"/>
        </w:rPr>
        <w:t>:geometric and wave optics ; 40h 5 ECTS credits</w:t>
      </w:r>
    </w:p>
    <w:p w14:paraId="201A03EC" w14:textId="77777777" w:rsidR="0080438E" w:rsidRPr="00375F64" w:rsidRDefault="0080438E" w:rsidP="0080438E">
      <w:pPr>
        <w:pStyle w:val="Paragraphedeliste"/>
        <w:numPr>
          <w:ilvl w:val="0"/>
          <w:numId w:val="10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5</w:t>
      </w:r>
      <w:r w:rsidRPr="00375F64">
        <w:rPr>
          <w:rFonts w:cs="Times New Roman"/>
          <w:lang w:val="en-US"/>
        </w:rPr>
        <w:t>: general mechanics 2, dynamics of solids and systems ; 40 h 5 ECTS credits</w:t>
      </w:r>
    </w:p>
    <w:p w14:paraId="211544D6" w14:textId="77777777" w:rsidR="0080438E" w:rsidRPr="00375F64" w:rsidRDefault="0080438E" w:rsidP="0080438E">
      <w:pPr>
        <w:pStyle w:val="Paragraphedeliste"/>
        <w:numPr>
          <w:ilvl w:val="0"/>
          <w:numId w:val="10"/>
        </w:numPr>
        <w:rPr>
          <w:rFonts w:cs="Times New Roman"/>
          <w:color w:val="FF0000"/>
          <w:lang w:val="en-US"/>
        </w:rPr>
      </w:pPr>
      <w:r w:rsidRPr="00375F64">
        <w:rPr>
          <w:rFonts w:cs="Times New Roman"/>
          <w:b/>
          <w:color w:val="FF0000"/>
          <w:lang w:val="en-US"/>
        </w:rPr>
        <w:t>UE</w:t>
      </w:r>
      <w:r w:rsidR="00593702" w:rsidRPr="00375F64">
        <w:rPr>
          <w:rFonts w:cs="Times New Roman"/>
          <w:b/>
          <w:color w:val="FF0000"/>
          <w:lang w:val="en-US"/>
        </w:rPr>
        <w:t xml:space="preserve"> </w:t>
      </w:r>
      <w:r w:rsidRPr="00375F64">
        <w:rPr>
          <w:rFonts w:cs="Times New Roman"/>
          <w:b/>
          <w:color w:val="FF0000"/>
          <w:lang w:val="en-US"/>
        </w:rPr>
        <w:t>6</w:t>
      </w:r>
      <w:r w:rsidRPr="00375F64">
        <w:rPr>
          <w:rFonts w:cs="Times New Roman"/>
          <w:color w:val="FF0000"/>
          <w:lang w:val="en-US"/>
        </w:rPr>
        <w:t>: mathematics tools; 40h 4 ECTS credits</w:t>
      </w:r>
    </w:p>
    <w:p w14:paraId="47FE7FE3" w14:textId="77777777" w:rsidR="0080438E" w:rsidRPr="00375F64" w:rsidRDefault="0080438E" w:rsidP="0080438E">
      <w:pPr>
        <w:pStyle w:val="Paragraphedeliste"/>
        <w:numPr>
          <w:ilvl w:val="0"/>
          <w:numId w:val="10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7</w:t>
      </w:r>
      <w:r w:rsidRPr="00375F64">
        <w:rPr>
          <w:rFonts w:cs="Times New Roman"/>
          <w:lang w:val="en-US"/>
        </w:rPr>
        <w:t>: linear algebra for PC ; 40h 4 ECTS credits</w:t>
      </w:r>
    </w:p>
    <w:p w14:paraId="097CFF82" w14:textId="77777777" w:rsidR="0080438E" w:rsidRPr="00375F64" w:rsidRDefault="0080438E" w:rsidP="0080438E">
      <w:pPr>
        <w:pStyle w:val="Paragraphedeliste"/>
        <w:numPr>
          <w:ilvl w:val="0"/>
          <w:numId w:val="10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8</w:t>
      </w:r>
      <w:r w:rsidRPr="00375F64">
        <w:rPr>
          <w:rFonts w:cs="Times New Roman"/>
          <w:lang w:val="en-US"/>
        </w:rPr>
        <w:t>:thermodynamics 2 ; 20h 2 ECTS credits</w:t>
      </w:r>
    </w:p>
    <w:p w14:paraId="1B62E21D" w14:textId="77777777" w:rsidR="0080438E" w:rsidRPr="00375F64" w:rsidRDefault="0080438E" w:rsidP="0080438E">
      <w:pPr>
        <w:pStyle w:val="Paragraphedeliste"/>
        <w:numPr>
          <w:ilvl w:val="0"/>
          <w:numId w:val="10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 xml:space="preserve">9 </w:t>
      </w:r>
      <w:r w:rsidRPr="00375F64">
        <w:rPr>
          <w:rFonts w:cs="Times New Roman"/>
          <w:lang w:val="en-US"/>
        </w:rPr>
        <w:t>: professional project in physics ;  12h 1ECTS credit</w:t>
      </w:r>
    </w:p>
    <w:p w14:paraId="3B893BBE" w14:textId="77777777" w:rsidR="0080438E" w:rsidRPr="00375F64" w:rsidRDefault="0080438E" w:rsidP="0080438E">
      <w:pPr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SEMESTER  4</w:t>
      </w:r>
    </w:p>
    <w:p w14:paraId="1AC5AD43" w14:textId="77777777" w:rsidR="0080438E" w:rsidRPr="00375F64" w:rsidRDefault="0080438E" w:rsidP="0080438E">
      <w:pPr>
        <w:spacing w:after="0"/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1. Core courses (25 ECTS credits)</w:t>
      </w:r>
    </w:p>
    <w:p w14:paraId="2C949086" w14:textId="77777777" w:rsidR="0080438E" w:rsidRPr="00375F64" w:rsidRDefault="0080438E" w:rsidP="0080438E">
      <w:pPr>
        <w:pStyle w:val="Paragraphedeliste"/>
        <w:numPr>
          <w:ilvl w:val="0"/>
          <w:numId w:val="11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1 </w:t>
      </w:r>
      <w:r w:rsidRPr="00375F64">
        <w:rPr>
          <w:rFonts w:cs="Times New Roman"/>
          <w:lang w:val="en-US"/>
        </w:rPr>
        <w:t xml:space="preserve">: </w:t>
      </w:r>
      <w:proofErr w:type="spellStart"/>
      <w:r w:rsidRPr="00375F64">
        <w:rPr>
          <w:rFonts w:cs="Times New Roman"/>
          <w:lang w:val="en-US"/>
        </w:rPr>
        <w:t>english</w:t>
      </w:r>
      <w:proofErr w:type="spellEnd"/>
      <w:r w:rsidRPr="00375F64">
        <w:rPr>
          <w:rFonts w:cs="Times New Roman"/>
          <w:lang w:val="en-US"/>
        </w:rPr>
        <w:t xml:space="preserve"> scientific project ; 16h 2 ECTS credits</w:t>
      </w:r>
    </w:p>
    <w:p w14:paraId="5A792C76" w14:textId="77777777" w:rsidR="0080438E" w:rsidRPr="00375F64" w:rsidRDefault="0080438E" w:rsidP="0080438E">
      <w:pPr>
        <w:pStyle w:val="Paragraphedeliste"/>
        <w:numPr>
          <w:ilvl w:val="0"/>
          <w:numId w:val="11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2 </w:t>
      </w:r>
      <w:r w:rsidRPr="00375F64">
        <w:rPr>
          <w:rFonts w:cs="Times New Roman"/>
          <w:lang w:val="en-US"/>
        </w:rPr>
        <w:t>: electromagnetism 2 ; 40h 5 ECTS credits</w:t>
      </w:r>
    </w:p>
    <w:p w14:paraId="75AB8527" w14:textId="77777777" w:rsidR="0080438E" w:rsidRPr="00375F64" w:rsidRDefault="0080438E" w:rsidP="0080438E">
      <w:pPr>
        <w:pStyle w:val="Paragraphedeliste"/>
        <w:numPr>
          <w:ilvl w:val="0"/>
          <w:numId w:val="11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3 </w:t>
      </w:r>
      <w:r w:rsidRPr="00375F64">
        <w:rPr>
          <w:rFonts w:cs="Times New Roman"/>
          <w:lang w:val="en-US"/>
        </w:rPr>
        <w:t>: modern physics 1 ; 40 h 5 ECTS credits</w:t>
      </w:r>
    </w:p>
    <w:p w14:paraId="502024A6" w14:textId="77777777" w:rsidR="0080438E" w:rsidRPr="00375F64" w:rsidRDefault="0080438E" w:rsidP="0080438E">
      <w:pPr>
        <w:pStyle w:val="Paragraphedeliste"/>
        <w:numPr>
          <w:ilvl w:val="0"/>
          <w:numId w:val="11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 </w:t>
      </w:r>
      <w:r w:rsidRPr="00375F64">
        <w:rPr>
          <w:rFonts w:cs="Times New Roman"/>
          <w:b/>
          <w:lang w:val="en-US"/>
        </w:rPr>
        <w:t xml:space="preserve">4 </w:t>
      </w:r>
      <w:r w:rsidRPr="00375F64">
        <w:rPr>
          <w:rFonts w:cs="Times New Roman"/>
          <w:lang w:val="en-US"/>
        </w:rPr>
        <w:t>: experimental physics 2 ; 20h 1 ECTS credit</w:t>
      </w:r>
    </w:p>
    <w:p w14:paraId="7C2ADB54" w14:textId="77777777" w:rsidR="0080438E" w:rsidRPr="00375F64" w:rsidRDefault="0080438E" w:rsidP="0080438E">
      <w:pPr>
        <w:pStyle w:val="Paragraphedeliste"/>
        <w:numPr>
          <w:ilvl w:val="0"/>
          <w:numId w:val="11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5</w:t>
      </w:r>
      <w:r w:rsidRPr="00375F64">
        <w:rPr>
          <w:rFonts w:cs="Times New Roman"/>
          <w:lang w:val="en-US"/>
        </w:rPr>
        <w:t>: electronics ; 40h 5 ECTS credits</w:t>
      </w:r>
    </w:p>
    <w:p w14:paraId="132D1C5B" w14:textId="77777777" w:rsidR="0080438E" w:rsidRPr="00375F64" w:rsidRDefault="0080438E" w:rsidP="0080438E">
      <w:pPr>
        <w:pStyle w:val="Paragraphedeliste"/>
        <w:numPr>
          <w:ilvl w:val="0"/>
          <w:numId w:val="11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 6</w:t>
      </w:r>
      <w:r w:rsidRPr="00375F64">
        <w:rPr>
          <w:rFonts w:cs="Times New Roman"/>
          <w:lang w:val="en-US"/>
        </w:rPr>
        <w:t xml:space="preserve">: </w:t>
      </w:r>
      <w:proofErr w:type="spellStart"/>
      <w:r w:rsidRPr="00375F64">
        <w:rPr>
          <w:rFonts w:cs="Times New Roman"/>
          <w:lang w:val="en-US"/>
        </w:rPr>
        <w:t>modelisation</w:t>
      </w:r>
      <w:proofErr w:type="spellEnd"/>
      <w:r w:rsidRPr="00375F64">
        <w:rPr>
          <w:rFonts w:cs="Times New Roman"/>
          <w:lang w:val="en-US"/>
        </w:rPr>
        <w:t xml:space="preserve"> for physics ; 20h 2ECTS credits</w:t>
      </w:r>
    </w:p>
    <w:p w14:paraId="44A585D5" w14:textId="77777777" w:rsidR="0080438E" w:rsidRPr="00375F64" w:rsidRDefault="0080438E" w:rsidP="0080438E">
      <w:pPr>
        <w:pStyle w:val="Paragraphedeliste"/>
        <w:numPr>
          <w:ilvl w:val="0"/>
          <w:numId w:val="11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 xml:space="preserve">UE 7: </w:t>
      </w:r>
      <w:r w:rsidRPr="00375F64">
        <w:rPr>
          <w:rFonts w:cs="Times New Roman"/>
          <w:lang w:val="en-US"/>
        </w:rPr>
        <w:t>mechanics of deformable environments ; 40h 5 ECTS</w:t>
      </w:r>
    </w:p>
    <w:p w14:paraId="1D0C0DC1" w14:textId="77777777" w:rsidR="0080438E" w:rsidRPr="00375F64" w:rsidRDefault="0080438E" w:rsidP="0080438E">
      <w:pPr>
        <w:spacing w:after="0"/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2. Additional courses (4 ECTS)</w:t>
      </w:r>
    </w:p>
    <w:p w14:paraId="727862A0" w14:textId="77777777" w:rsidR="0080438E" w:rsidRPr="00375F64" w:rsidRDefault="0080438E" w:rsidP="0080438E">
      <w:pPr>
        <w:pStyle w:val="Paragraphedeliste"/>
        <w:numPr>
          <w:ilvl w:val="0"/>
          <w:numId w:val="13"/>
        </w:numPr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8 :</w:t>
      </w:r>
      <w:r w:rsidRPr="00375F64">
        <w:rPr>
          <w:rFonts w:cs="Times New Roman"/>
          <w:lang w:val="en-US"/>
        </w:rPr>
        <w:t xml:space="preserve"> astrophysics, planetology ; 40h 4 ECTS credits</w:t>
      </w:r>
    </w:p>
    <w:p w14:paraId="0F6C9933" w14:textId="77777777" w:rsidR="0080438E" w:rsidRPr="00375F64" w:rsidRDefault="0080438E" w:rsidP="0080438E">
      <w:pPr>
        <w:pStyle w:val="Paragraphedeliste"/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or</w:t>
      </w:r>
    </w:p>
    <w:p w14:paraId="543E03C8" w14:textId="77777777" w:rsidR="0080438E" w:rsidRPr="00375F64" w:rsidRDefault="0080438E" w:rsidP="0080438E">
      <w:pPr>
        <w:pStyle w:val="Paragraphedeliste"/>
        <w:numPr>
          <w:ilvl w:val="0"/>
          <w:numId w:val="13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 xml:space="preserve">9 : </w:t>
      </w:r>
      <w:r w:rsidRPr="00375F64">
        <w:rPr>
          <w:rFonts w:cs="Times New Roman"/>
          <w:lang w:val="en-US"/>
        </w:rPr>
        <w:t>renewable energies ; 40h 4 ECTS credits</w:t>
      </w:r>
    </w:p>
    <w:p w14:paraId="6A23E9B8" w14:textId="77777777" w:rsidR="0080438E" w:rsidRPr="00375F64" w:rsidRDefault="0080438E" w:rsidP="0080438E">
      <w:pPr>
        <w:spacing w:after="0"/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3. Optional courses (16 h 1 ECTS)</w:t>
      </w:r>
    </w:p>
    <w:p w14:paraId="7ECA1E6B" w14:textId="25AE37D7" w:rsidR="0080438E" w:rsidRPr="00375F64" w:rsidRDefault="0080438E" w:rsidP="0080438E">
      <w:p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To choose among: Music and sciences.</w:t>
      </w:r>
      <w:r w:rsidR="0042720C">
        <w:rPr>
          <w:rFonts w:cs="Times New Roman"/>
          <w:lang w:val="en-US"/>
        </w:rPr>
        <w:t xml:space="preserve"> </w:t>
      </w:r>
      <w:r w:rsidRPr="00375F64">
        <w:rPr>
          <w:rFonts w:cs="Times New Roman"/>
          <w:lang w:val="en-US"/>
        </w:rPr>
        <w:t>Vol</w:t>
      </w:r>
      <w:r w:rsidR="00846B62" w:rsidRPr="00375F64">
        <w:rPr>
          <w:rFonts w:cs="Times New Roman"/>
          <w:lang w:val="en-US"/>
        </w:rPr>
        <w:t>u</w:t>
      </w:r>
      <w:r w:rsidRPr="00375F64">
        <w:rPr>
          <w:rFonts w:cs="Times New Roman"/>
          <w:lang w:val="en-US"/>
        </w:rPr>
        <w:t xml:space="preserve">nteering. Sociology of research laboratories. </w:t>
      </w:r>
      <w:r w:rsidR="00846B62" w:rsidRPr="00375F64">
        <w:rPr>
          <w:rFonts w:cs="Times New Roman"/>
          <w:lang w:val="en-US"/>
        </w:rPr>
        <w:t xml:space="preserve">Preparation </w:t>
      </w:r>
      <w:r w:rsidRPr="00375F64">
        <w:rPr>
          <w:rFonts w:cs="Times New Roman"/>
          <w:lang w:val="en-US"/>
        </w:rPr>
        <w:t>of scientific documentation. From anticancer drugs to not-stick coatings: the results of observation. Infinitely small imagery technics. Sport. Arts and sciences. Cryptography and arithmetic</w:t>
      </w:r>
      <w:r w:rsidR="00846B62" w:rsidRPr="00375F64">
        <w:rPr>
          <w:rFonts w:cs="Times New Roman"/>
          <w:lang w:val="en-US"/>
        </w:rPr>
        <w:t>.</w:t>
      </w:r>
      <w:r w:rsidR="0042720C">
        <w:rPr>
          <w:rFonts w:cs="Times New Roman"/>
          <w:lang w:val="en-US"/>
        </w:rPr>
        <w:t xml:space="preserve"> </w:t>
      </w:r>
      <w:r w:rsidRPr="00375F64">
        <w:rPr>
          <w:rFonts w:cs="Times New Roman"/>
          <w:lang w:val="en-US"/>
        </w:rPr>
        <w:t>Digital creation</w:t>
      </w:r>
      <w:r w:rsidR="00846B62" w:rsidRPr="00375F64">
        <w:rPr>
          <w:rFonts w:cs="Times New Roman"/>
          <w:lang w:val="en-US"/>
        </w:rPr>
        <w:t>.</w:t>
      </w:r>
      <w:r w:rsidRPr="00375F64">
        <w:rPr>
          <w:rFonts w:cs="Times New Roman"/>
          <w:lang w:val="en-US"/>
        </w:rPr>
        <w:t xml:space="preserve"> Webpage creation. Climate yesterday, today and tomorrow. Science, culture, society. Scientific and technologic debates across the centuries.</w:t>
      </w:r>
    </w:p>
    <w:p w14:paraId="2AFDE243" w14:textId="77777777" w:rsidR="0080438E" w:rsidRPr="00375F64" w:rsidRDefault="0080438E" w:rsidP="0080438E">
      <w:pPr>
        <w:spacing w:after="0"/>
        <w:rPr>
          <w:rFonts w:cs="Times New Roman"/>
          <w:lang w:val="en-US"/>
        </w:rPr>
      </w:pPr>
    </w:p>
    <w:p w14:paraId="25DA8E7E" w14:textId="77777777" w:rsidR="0080438E" w:rsidRPr="00375F64" w:rsidRDefault="0080438E" w:rsidP="0080438E">
      <w:pPr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SEMESTER 5</w:t>
      </w:r>
    </w:p>
    <w:p w14:paraId="4C992C4C" w14:textId="77777777" w:rsidR="0080438E" w:rsidRPr="00375F64" w:rsidRDefault="0080438E" w:rsidP="0080438E">
      <w:pPr>
        <w:pStyle w:val="Paragraphedeliste"/>
        <w:numPr>
          <w:ilvl w:val="0"/>
          <w:numId w:val="13"/>
        </w:numPr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 xml:space="preserve">1 : </w:t>
      </w:r>
      <w:r w:rsidRPr="00375F64">
        <w:rPr>
          <w:rFonts w:cs="Times New Roman"/>
          <w:lang w:val="en-US"/>
        </w:rPr>
        <w:t>English for scientific communication ; 16 h  3 ECTS credits</w:t>
      </w:r>
    </w:p>
    <w:p w14:paraId="2B45461D" w14:textId="77777777" w:rsidR="0080438E" w:rsidRPr="00375F64" w:rsidRDefault="0080438E" w:rsidP="0080438E">
      <w:pPr>
        <w:pStyle w:val="Paragraphedeliste"/>
        <w:numPr>
          <w:ilvl w:val="0"/>
          <w:numId w:val="13"/>
        </w:numPr>
        <w:rPr>
          <w:rFonts w:cs="Times New Roman"/>
          <w:color w:val="FF0000"/>
          <w:lang w:val="en-US"/>
        </w:rPr>
      </w:pPr>
      <w:r w:rsidRPr="00375F64">
        <w:rPr>
          <w:rFonts w:cs="Times New Roman"/>
          <w:b/>
          <w:color w:val="FF0000"/>
          <w:lang w:val="en-US"/>
        </w:rPr>
        <w:t>UE</w:t>
      </w:r>
      <w:r w:rsidR="00593702" w:rsidRPr="00375F64">
        <w:rPr>
          <w:rFonts w:cs="Times New Roman"/>
          <w:b/>
          <w:color w:val="FF0000"/>
          <w:lang w:val="en-US"/>
        </w:rPr>
        <w:t xml:space="preserve"> </w:t>
      </w:r>
      <w:r w:rsidRPr="00375F64">
        <w:rPr>
          <w:rFonts w:cs="Times New Roman"/>
          <w:b/>
          <w:color w:val="FF0000"/>
          <w:lang w:val="en-US"/>
        </w:rPr>
        <w:t xml:space="preserve">2 </w:t>
      </w:r>
      <w:r w:rsidRPr="00375F64">
        <w:rPr>
          <w:rFonts w:cs="Times New Roman"/>
          <w:color w:val="FF0000"/>
          <w:lang w:val="en-US"/>
        </w:rPr>
        <w:t>: Mathematic tools ;48h 5 ECTS credits</w:t>
      </w:r>
    </w:p>
    <w:p w14:paraId="1B9F8C98" w14:textId="77777777" w:rsidR="0080438E" w:rsidRPr="00375F64" w:rsidRDefault="0080438E" w:rsidP="0080438E">
      <w:pPr>
        <w:pStyle w:val="Paragraphedeliste"/>
        <w:numPr>
          <w:ilvl w:val="0"/>
          <w:numId w:val="13"/>
        </w:numPr>
        <w:rPr>
          <w:rFonts w:cs="Times New Roman"/>
          <w:color w:val="FF0000"/>
          <w:lang w:val="en-US"/>
        </w:rPr>
      </w:pPr>
      <w:r w:rsidRPr="00375F64">
        <w:rPr>
          <w:rFonts w:cs="Times New Roman"/>
          <w:b/>
          <w:color w:val="FF0000"/>
          <w:lang w:val="en-US"/>
        </w:rPr>
        <w:t>UE</w:t>
      </w:r>
      <w:r w:rsidR="00593702" w:rsidRPr="00375F64">
        <w:rPr>
          <w:rFonts w:cs="Times New Roman"/>
          <w:b/>
          <w:color w:val="FF0000"/>
          <w:lang w:val="en-US"/>
        </w:rPr>
        <w:t xml:space="preserve"> </w:t>
      </w:r>
      <w:r w:rsidRPr="00375F64">
        <w:rPr>
          <w:rFonts w:cs="Times New Roman"/>
          <w:b/>
          <w:color w:val="FF0000"/>
          <w:lang w:val="en-US"/>
        </w:rPr>
        <w:t xml:space="preserve">3 </w:t>
      </w:r>
      <w:r w:rsidRPr="00375F64">
        <w:rPr>
          <w:rFonts w:cs="Times New Roman"/>
          <w:color w:val="FF0000"/>
          <w:lang w:val="en-US"/>
        </w:rPr>
        <w:t>: Quantum  mechanics ; 50 h 5 ECTS credits</w:t>
      </w:r>
    </w:p>
    <w:p w14:paraId="52E176B0" w14:textId="77777777" w:rsidR="0080438E" w:rsidRPr="00375F64" w:rsidRDefault="0080438E" w:rsidP="0080438E">
      <w:pPr>
        <w:pStyle w:val="Paragraphedeliste"/>
        <w:numPr>
          <w:ilvl w:val="0"/>
          <w:numId w:val="13"/>
        </w:numPr>
        <w:rPr>
          <w:rFonts w:cs="Times New Roman"/>
          <w:color w:val="FF0000"/>
          <w:lang w:val="en-US"/>
        </w:rPr>
      </w:pPr>
      <w:r w:rsidRPr="00375F64">
        <w:rPr>
          <w:rFonts w:cs="Times New Roman"/>
          <w:b/>
          <w:color w:val="FF0000"/>
          <w:lang w:val="en-US"/>
        </w:rPr>
        <w:t>UE</w:t>
      </w:r>
      <w:r w:rsidR="00593702" w:rsidRPr="00375F64">
        <w:rPr>
          <w:rFonts w:cs="Times New Roman"/>
          <w:b/>
          <w:color w:val="FF0000"/>
          <w:lang w:val="en-US"/>
        </w:rPr>
        <w:t xml:space="preserve"> </w:t>
      </w:r>
      <w:r w:rsidRPr="00375F64">
        <w:rPr>
          <w:rFonts w:cs="Times New Roman"/>
          <w:b/>
          <w:color w:val="FF0000"/>
          <w:lang w:val="en-US"/>
        </w:rPr>
        <w:t xml:space="preserve">4 </w:t>
      </w:r>
      <w:r w:rsidRPr="00375F64">
        <w:rPr>
          <w:rFonts w:cs="Times New Roman"/>
          <w:color w:val="FF0000"/>
          <w:lang w:val="en-US"/>
        </w:rPr>
        <w:t>: Electromagnetism 3 ; 24h 3ECTS credits</w:t>
      </w:r>
    </w:p>
    <w:p w14:paraId="2E93251D" w14:textId="77777777" w:rsidR="0080438E" w:rsidRPr="00375F64" w:rsidRDefault="0080438E" w:rsidP="0080438E">
      <w:pPr>
        <w:pStyle w:val="Paragraphedeliste"/>
        <w:numPr>
          <w:ilvl w:val="0"/>
          <w:numId w:val="13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 xml:space="preserve">5 </w:t>
      </w:r>
      <w:r w:rsidRPr="00375F64">
        <w:rPr>
          <w:rFonts w:cs="Times New Roman"/>
          <w:lang w:val="en-US"/>
        </w:rPr>
        <w:t>: Modern  physics 2 ; 40h 5ECTS credits</w:t>
      </w:r>
    </w:p>
    <w:p w14:paraId="5E03A7F1" w14:textId="77777777" w:rsidR="0080438E" w:rsidRPr="00375F64" w:rsidRDefault="0080438E" w:rsidP="0080438E">
      <w:pPr>
        <w:pStyle w:val="Paragraphedeliste"/>
        <w:numPr>
          <w:ilvl w:val="0"/>
          <w:numId w:val="13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 xml:space="preserve">6 </w:t>
      </w:r>
      <w:r w:rsidRPr="00375F64">
        <w:rPr>
          <w:rFonts w:cs="Times New Roman"/>
          <w:lang w:val="en-US"/>
        </w:rPr>
        <w:t>: Subatomic physics ; 40h 5 ECTS credits</w:t>
      </w:r>
    </w:p>
    <w:p w14:paraId="4D4EC3A8" w14:textId="77777777" w:rsidR="0080438E" w:rsidRPr="00375F64" w:rsidRDefault="0080438E" w:rsidP="0080438E">
      <w:pPr>
        <w:pStyle w:val="Paragraphedeliste"/>
        <w:numPr>
          <w:ilvl w:val="0"/>
          <w:numId w:val="13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 7</w:t>
      </w:r>
      <w:r w:rsidRPr="00375F64">
        <w:rPr>
          <w:rFonts w:cs="Times New Roman"/>
          <w:lang w:val="en-US"/>
        </w:rPr>
        <w:t>: Analytic mechanics ; 18h 2 ECTS credits</w:t>
      </w:r>
    </w:p>
    <w:p w14:paraId="61B4EE94" w14:textId="77777777" w:rsidR="0080438E" w:rsidRPr="00375F64" w:rsidRDefault="0080438E" w:rsidP="0080438E">
      <w:pPr>
        <w:pStyle w:val="Paragraphedeliste"/>
        <w:numPr>
          <w:ilvl w:val="0"/>
          <w:numId w:val="13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 8</w:t>
      </w:r>
      <w:r w:rsidRPr="00375F64">
        <w:rPr>
          <w:rFonts w:cs="Times New Roman"/>
          <w:lang w:val="en-US"/>
        </w:rPr>
        <w:t>: Professional project in physics ; 16h 2 ECTS</w:t>
      </w:r>
    </w:p>
    <w:p w14:paraId="753188D7" w14:textId="77777777" w:rsidR="0080438E" w:rsidRPr="00375F64" w:rsidRDefault="0080438E" w:rsidP="0080438E">
      <w:pPr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SEMESTER 6</w:t>
      </w:r>
    </w:p>
    <w:p w14:paraId="085BA196" w14:textId="77777777" w:rsidR="0080438E" w:rsidRPr="00375F64" w:rsidRDefault="0080438E" w:rsidP="0080438E">
      <w:pPr>
        <w:pStyle w:val="Paragraphedeliste"/>
        <w:numPr>
          <w:ilvl w:val="0"/>
          <w:numId w:val="13"/>
        </w:numPr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 xml:space="preserve">1 : </w:t>
      </w:r>
      <w:r w:rsidRPr="00375F64">
        <w:rPr>
          <w:rFonts w:cs="Times New Roman"/>
          <w:lang w:val="en-US"/>
        </w:rPr>
        <w:t>English for scientific communication ; 16 h  2 ECTS credits</w:t>
      </w:r>
    </w:p>
    <w:p w14:paraId="3E52A62C" w14:textId="77777777" w:rsidR="0080438E" w:rsidRPr="00375F64" w:rsidRDefault="0080438E" w:rsidP="0080438E">
      <w:pPr>
        <w:pStyle w:val="Paragraphedeliste"/>
        <w:numPr>
          <w:ilvl w:val="0"/>
          <w:numId w:val="13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 xml:space="preserve">2 </w:t>
      </w:r>
      <w:r w:rsidRPr="00375F64">
        <w:rPr>
          <w:rFonts w:cs="Times New Roman"/>
          <w:lang w:val="en-US"/>
        </w:rPr>
        <w:t>: Thermodynamics 3 ; 42 h 5ECTS credits</w:t>
      </w:r>
    </w:p>
    <w:p w14:paraId="03BDC60C" w14:textId="77777777" w:rsidR="0080438E" w:rsidRPr="00375F64" w:rsidRDefault="0080438E" w:rsidP="0080438E">
      <w:pPr>
        <w:pStyle w:val="Paragraphedeliste"/>
        <w:numPr>
          <w:ilvl w:val="0"/>
          <w:numId w:val="13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 xml:space="preserve">3 </w:t>
      </w:r>
      <w:r w:rsidRPr="00375F64">
        <w:rPr>
          <w:rFonts w:cs="Times New Roman"/>
          <w:lang w:val="en-US"/>
        </w:rPr>
        <w:t>: Solid state physics ;42h 5 ECTS credits</w:t>
      </w:r>
    </w:p>
    <w:p w14:paraId="22636898" w14:textId="77777777" w:rsidR="0080438E" w:rsidRPr="00375F64" w:rsidRDefault="0080438E" w:rsidP="0080438E">
      <w:pPr>
        <w:pStyle w:val="Paragraphedeliste"/>
        <w:numPr>
          <w:ilvl w:val="0"/>
          <w:numId w:val="13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4</w:t>
      </w:r>
      <w:r w:rsidRPr="00375F64">
        <w:rPr>
          <w:rFonts w:cs="Times New Roman"/>
          <w:lang w:val="en-US"/>
        </w:rPr>
        <w:t xml:space="preserve">:  </w:t>
      </w:r>
      <w:proofErr w:type="spellStart"/>
      <w:r w:rsidRPr="00375F64">
        <w:rPr>
          <w:rFonts w:cs="Times New Roman"/>
          <w:lang w:val="en-US"/>
        </w:rPr>
        <w:t>Modelization</w:t>
      </w:r>
      <w:proofErr w:type="spellEnd"/>
      <w:r w:rsidRPr="00375F64">
        <w:rPr>
          <w:rFonts w:cs="Times New Roman"/>
          <w:lang w:val="en-US"/>
        </w:rPr>
        <w:t xml:space="preserve"> for physics 3 ; 28h 3 ECTS</w:t>
      </w:r>
    </w:p>
    <w:p w14:paraId="5AB04577" w14:textId="77777777" w:rsidR="0080438E" w:rsidRPr="00375F64" w:rsidRDefault="0080438E" w:rsidP="0080438E">
      <w:pPr>
        <w:pStyle w:val="Paragraphedeliste"/>
        <w:numPr>
          <w:ilvl w:val="0"/>
          <w:numId w:val="13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5</w:t>
      </w:r>
      <w:r w:rsidRPr="00375F64">
        <w:rPr>
          <w:rFonts w:cs="Times New Roman"/>
          <w:lang w:val="en-US"/>
        </w:rPr>
        <w:t xml:space="preserve">: </w:t>
      </w:r>
      <w:proofErr w:type="spellStart"/>
      <w:r w:rsidRPr="00375F64">
        <w:rPr>
          <w:rFonts w:cs="Times New Roman"/>
          <w:lang w:val="en-US"/>
        </w:rPr>
        <w:t>Mecanic</w:t>
      </w:r>
      <w:proofErr w:type="spellEnd"/>
      <w:r w:rsidRPr="00375F64">
        <w:rPr>
          <w:rFonts w:cs="Times New Roman"/>
          <w:lang w:val="en-US"/>
        </w:rPr>
        <w:t>, acoustic, electromagnetic waves ; 48h 6 ECTS credits</w:t>
      </w:r>
    </w:p>
    <w:p w14:paraId="3765D38D" w14:textId="77777777" w:rsidR="0080438E" w:rsidRPr="00375F64" w:rsidRDefault="0080438E" w:rsidP="0080438E">
      <w:pPr>
        <w:pStyle w:val="Paragraphedeliste"/>
        <w:numPr>
          <w:ilvl w:val="0"/>
          <w:numId w:val="13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6</w:t>
      </w:r>
      <w:r w:rsidRPr="00375F64">
        <w:rPr>
          <w:rFonts w:cs="Times New Roman"/>
          <w:lang w:val="en-US"/>
        </w:rPr>
        <w:t>: Experimental physics 3 ; 42 h 6 ECTS credits</w:t>
      </w:r>
    </w:p>
    <w:p w14:paraId="5871A296" w14:textId="77777777" w:rsidR="0080438E" w:rsidRPr="00375F64" w:rsidRDefault="0080438E" w:rsidP="0080438E">
      <w:pPr>
        <w:pStyle w:val="Paragraphedeliste"/>
        <w:numPr>
          <w:ilvl w:val="0"/>
          <w:numId w:val="13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 xml:space="preserve">Internship </w:t>
      </w:r>
      <w:r w:rsidRPr="00375F64">
        <w:rPr>
          <w:rFonts w:cs="Times New Roman"/>
          <w:lang w:val="en-US"/>
        </w:rPr>
        <w:t>: 3 ECTS credits</w:t>
      </w:r>
    </w:p>
    <w:p w14:paraId="1A773095" w14:textId="77777777" w:rsidR="001B1E33" w:rsidRPr="00375F64" w:rsidRDefault="001B1E33">
      <w:pPr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br w:type="page"/>
      </w:r>
    </w:p>
    <w:p w14:paraId="698F80AB" w14:textId="43C18A13" w:rsidR="001B1E33" w:rsidRPr="00375F64" w:rsidRDefault="001B1E33" w:rsidP="001B1E33">
      <w:pPr>
        <w:jc w:val="center"/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 xml:space="preserve">Annex </w:t>
      </w:r>
      <w:r w:rsidR="007F18A2" w:rsidRPr="00375F64">
        <w:rPr>
          <w:rFonts w:cs="Times New Roman"/>
          <w:b/>
          <w:lang w:val="en-US"/>
        </w:rPr>
        <w:t>1.2</w:t>
      </w:r>
    </w:p>
    <w:p w14:paraId="41481755" w14:textId="77777777" w:rsidR="001B1E33" w:rsidRPr="00375F64" w:rsidRDefault="001B1E33" w:rsidP="001B1E33">
      <w:pPr>
        <w:jc w:val="center"/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ELABORATING A LEARNRING AGREEMENT : example 2</w:t>
      </w:r>
    </w:p>
    <w:p w14:paraId="05B3F159" w14:textId="77777777" w:rsidR="001B1E33" w:rsidRPr="00375F64" w:rsidRDefault="001B1E33" w:rsidP="001B1E33">
      <w:pPr>
        <w:jc w:val="center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 xml:space="preserve">Bachelor in </w:t>
      </w:r>
      <w:r w:rsidR="00FE04C1" w:rsidRPr="00375F64">
        <w:rPr>
          <w:rFonts w:cs="Times New Roman"/>
          <w:lang w:val="en-US"/>
        </w:rPr>
        <w:t>Sales and M</w:t>
      </w:r>
      <w:r w:rsidR="004D33E3" w:rsidRPr="00375F64">
        <w:rPr>
          <w:rFonts w:cs="Times New Roman"/>
          <w:lang w:val="en-US"/>
        </w:rPr>
        <w:t>arketing</w:t>
      </w:r>
    </w:p>
    <w:p w14:paraId="633E9229" w14:textId="77777777" w:rsidR="0080438E" w:rsidRPr="00375F64" w:rsidRDefault="001B1E33" w:rsidP="0080438E">
      <w:pPr>
        <w:spacing w:after="0"/>
        <w:jc w:val="center"/>
        <w:rPr>
          <w:rFonts w:cs="Times New Roman"/>
          <w:lang w:val="en-US"/>
        </w:rPr>
      </w:pPr>
      <w:r w:rsidRPr="00375F64">
        <w:rPr>
          <w:noProof/>
          <w:lang w:eastAsia="fr-FR"/>
        </w:rPr>
        <w:drawing>
          <wp:inline distT="0" distB="0" distL="0" distR="0" wp14:anchorId="4C5EB6F5" wp14:editId="689DBCED">
            <wp:extent cx="5477176" cy="5832648"/>
            <wp:effectExtent l="0" t="0" r="9525" b="0"/>
            <wp:docPr id="6" name="Turinio vietos rezervavimo ženklas 5" descr="Ekrano nukirtima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rinio vietos rezervavimo ženklas 5" descr="Ekrano nukirtimas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176" cy="583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A1CE3" w14:textId="77777777" w:rsidR="001B1E33" w:rsidRPr="00375F64" w:rsidRDefault="001B1E33" w:rsidP="0080438E">
      <w:pPr>
        <w:spacing w:after="0"/>
        <w:jc w:val="center"/>
        <w:rPr>
          <w:rFonts w:cs="Times New Roman"/>
          <w:lang w:val="en-US"/>
        </w:rPr>
      </w:pPr>
    </w:p>
    <w:p w14:paraId="51B3232E" w14:textId="77777777" w:rsidR="001B1E33" w:rsidRPr="00375F64" w:rsidRDefault="001B1E33" w:rsidP="001B1E33">
      <w:p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 xml:space="preserve">This second example is interesting as far as it seems very different from the previous one, and </w:t>
      </w:r>
      <w:r w:rsidR="004D33E3" w:rsidRPr="00375F64">
        <w:rPr>
          <w:rFonts w:cs="Times New Roman"/>
          <w:lang w:val="en-US"/>
        </w:rPr>
        <w:t xml:space="preserve">apparently </w:t>
      </w:r>
      <w:r w:rsidRPr="00375F64">
        <w:rPr>
          <w:rFonts w:cs="Times New Roman"/>
          <w:lang w:val="en-US"/>
        </w:rPr>
        <w:t>it could be considered as not very satis</w:t>
      </w:r>
      <w:r w:rsidR="004D33E3" w:rsidRPr="00375F64">
        <w:rPr>
          <w:rFonts w:cs="Times New Roman"/>
          <w:lang w:val="en-US"/>
        </w:rPr>
        <w:t>factory for two reasons</w:t>
      </w:r>
      <w:r w:rsidRPr="00375F64">
        <w:rPr>
          <w:rFonts w:cs="Times New Roman"/>
          <w:lang w:val="en-US"/>
        </w:rPr>
        <w:t>:</w:t>
      </w:r>
    </w:p>
    <w:p w14:paraId="60597925" w14:textId="4565426B" w:rsidR="001B1E33" w:rsidRPr="00375F64" w:rsidRDefault="001B1E33" w:rsidP="007F18A2">
      <w:pPr>
        <w:pStyle w:val="Paragraphedeliste"/>
        <w:numPr>
          <w:ilvl w:val="0"/>
          <w:numId w:val="15"/>
        </w:num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First, there is not a clear equivalency es</w:t>
      </w:r>
      <w:r w:rsidR="004D33E3" w:rsidRPr="00375F64">
        <w:rPr>
          <w:rFonts w:cs="Times New Roman"/>
          <w:lang w:val="en-US"/>
        </w:rPr>
        <w:t>tablished between the components of the sending and receiving institutions: in fact, 4</w:t>
      </w:r>
      <w:r w:rsidR="00375F64">
        <w:rPr>
          <w:rFonts w:cs="Times New Roman"/>
          <w:lang w:val="en-US"/>
        </w:rPr>
        <w:t xml:space="preserve"> </w:t>
      </w:r>
      <w:r w:rsidR="004D33E3" w:rsidRPr="00375F64">
        <w:rPr>
          <w:rFonts w:cs="Times New Roman"/>
          <w:lang w:val="en-US"/>
        </w:rPr>
        <w:t>components of the sending university needs 6 components at the receiving university to be recognized.</w:t>
      </w:r>
    </w:p>
    <w:p w14:paraId="63896DAF" w14:textId="11ECC230" w:rsidR="004D33E3" w:rsidRDefault="004D33E3" w:rsidP="007F18A2">
      <w:pPr>
        <w:pStyle w:val="Paragraphedeliste"/>
        <w:numPr>
          <w:ilvl w:val="0"/>
          <w:numId w:val="15"/>
        </w:num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Second, the tittle of the components seem</w:t>
      </w:r>
      <w:r w:rsidR="00375F64">
        <w:rPr>
          <w:rFonts w:cs="Times New Roman"/>
          <w:lang w:val="en-US"/>
        </w:rPr>
        <w:t>s</w:t>
      </w:r>
      <w:r w:rsidRPr="00375F64">
        <w:rPr>
          <w:rFonts w:cs="Times New Roman"/>
          <w:lang w:val="en-US"/>
        </w:rPr>
        <w:t xml:space="preserve"> very different, and it </w:t>
      </w:r>
      <w:r w:rsidR="00375F64">
        <w:rPr>
          <w:rFonts w:cs="Times New Roman"/>
          <w:lang w:val="en-US"/>
        </w:rPr>
        <w:t>i</w:t>
      </w:r>
      <w:r w:rsidR="00375F64" w:rsidRPr="00375F64">
        <w:rPr>
          <w:rFonts w:cs="Times New Roman"/>
          <w:lang w:val="en-US"/>
        </w:rPr>
        <w:t>s not clear</w:t>
      </w:r>
      <w:r w:rsidRPr="00375F64">
        <w:rPr>
          <w:rFonts w:cs="Times New Roman"/>
          <w:lang w:val="en-US"/>
        </w:rPr>
        <w:t xml:space="preserve"> on the base of which criteria equivalency has been established</w:t>
      </w:r>
      <w:r w:rsidR="00375F64">
        <w:rPr>
          <w:rFonts w:cs="Times New Roman"/>
          <w:lang w:val="en-US"/>
        </w:rPr>
        <w:t>.</w:t>
      </w:r>
    </w:p>
    <w:p w14:paraId="53D088E7" w14:textId="77777777" w:rsidR="00375F64" w:rsidRPr="00375F64" w:rsidRDefault="00375F64" w:rsidP="00375F64">
      <w:pPr>
        <w:pStyle w:val="Paragraphedeliste"/>
        <w:spacing w:after="0"/>
        <w:jc w:val="both"/>
        <w:rPr>
          <w:rFonts w:cs="Times New Roman"/>
          <w:lang w:val="en-US"/>
        </w:rPr>
      </w:pPr>
    </w:p>
    <w:p w14:paraId="2A41CC56" w14:textId="6BDEF503" w:rsidR="004D33E3" w:rsidRPr="00375F64" w:rsidRDefault="00375F64" w:rsidP="001B1E33">
      <w:p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However,</w:t>
      </w:r>
      <w:r w:rsidR="004D33E3" w:rsidRPr="00375F64">
        <w:rPr>
          <w:rFonts w:cs="Times New Roman"/>
          <w:lang w:val="en-US"/>
        </w:rPr>
        <w:t xml:space="preserve"> this learning agreement is quite correct and acceptable. </w:t>
      </w:r>
      <w:r w:rsidRPr="00375F64">
        <w:rPr>
          <w:rFonts w:cs="Times New Roman"/>
          <w:lang w:val="en-US"/>
        </w:rPr>
        <w:t>Why?</w:t>
      </w:r>
    </w:p>
    <w:p w14:paraId="3948B916" w14:textId="77777777" w:rsidR="004D33E3" w:rsidRPr="00375F64" w:rsidRDefault="004D33E3" w:rsidP="004D33E3">
      <w:pPr>
        <w:pStyle w:val="Paragraphedeliste"/>
        <w:numPr>
          <w:ilvl w:val="0"/>
          <w:numId w:val="14"/>
        </w:num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The total of credits is the same, which legitimates the recognition of the whole semester</w:t>
      </w:r>
      <w:r w:rsidR="004816A5" w:rsidRPr="00375F64">
        <w:rPr>
          <w:rFonts w:cs="Times New Roman"/>
          <w:lang w:val="en-US"/>
        </w:rPr>
        <w:t xml:space="preserve"> without focusing too much attention on each component.</w:t>
      </w:r>
    </w:p>
    <w:p w14:paraId="35F16386" w14:textId="6140A7EF" w:rsidR="004D33E3" w:rsidRPr="00375F64" w:rsidRDefault="004D33E3" w:rsidP="004816A5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 xml:space="preserve">The component “electives” allows more </w:t>
      </w:r>
      <w:r w:rsidR="004816A5" w:rsidRPr="00375F64">
        <w:rPr>
          <w:rFonts w:cs="Times New Roman"/>
          <w:lang w:val="en-US"/>
        </w:rPr>
        <w:t>flexibility;</w:t>
      </w:r>
      <w:r w:rsidRPr="00375F64">
        <w:rPr>
          <w:rFonts w:cs="Times New Roman"/>
          <w:lang w:val="en-US"/>
        </w:rPr>
        <w:t xml:space="preserve"> the </w:t>
      </w:r>
      <w:r w:rsidR="004816A5" w:rsidRPr="00375F64">
        <w:rPr>
          <w:rFonts w:cs="Times New Roman"/>
          <w:lang w:val="en-US"/>
        </w:rPr>
        <w:t>first component “Introduction. Cultural</w:t>
      </w:r>
      <w:r w:rsidR="00375F64" w:rsidRPr="00375F64">
        <w:rPr>
          <w:rFonts w:cs="Times New Roman"/>
          <w:lang w:val="en-US"/>
        </w:rPr>
        <w:t>…” (</w:t>
      </w:r>
      <w:r w:rsidR="004816A5" w:rsidRPr="00375F64">
        <w:rPr>
          <w:rFonts w:cs="Times New Roman"/>
          <w:lang w:val="en-US"/>
        </w:rPr>
        <w:t>3 ECTS) and the component “Basic Dutch and French “(6 ECTS)</w:t>
      </w:r>
      <w:r w:rsidRPr="00375F64">
        <w:rPr>
          <w:rFonts w:cs="Times New Roman"/>
          <w:lang w:val="en-US"/>
        </w:rPr>
        <w:t xml:space="preserve"> can easily be recognized </w:t>
      </w:r>
      <w:r w:rsidR="004816A5" w:rsidRPr="00375F64">
        <w:rPr>
          <w:rFonts w:cs="Times New Roman"/>
          <w:lang w:val="en-US"/>
        </w:rPr>
        <w:t>as</w:t>
      </w:r>
      <w:r w:rsidRPr="00375F64">
        <w:rPr>
          <w:rFonts w:cs="Times New Roman"/>
          <w:lang w:val="en-US"/>
        </w:rPr>
        <w:t xml:space="preserve"> elective courses</w:t>
      </w:r>
      <w:r w:rsidR="004816A5" w:rsidRPr="00375F64">
        <w:rPr>
          <w:rFonts w:cs="Times New Roman"/>
          <w:lang w:val="en-US"/>
        </w:rPr>
        <w:t xml:space="preserve">. They represent 9 credits respect to 10 credits, which is easily acceptable. Otherwise, </w:t>
      </w:r>
      <w:r w:rsidR="005F5F69" w:rsidRPr="00375F64">
        <w:rPr>
          <w:rFonts w:cs="Times New Roman"/>
          <w:lang w:val="en-US"/>
        </w:rPr>
        <w:t>a</w:t>
      </w:r>
      <w:r w:rsidR="004816A5" w:rsidRPr="00375F64">
        <w:rPr>
          <w:rFonts w:cs="Times New Roman"/>
          <w:lang w:val="en-US"/>
        </w:rPr>
        <w:t xml:space="preserve"> course about the culture and the socio</w:t>
      </w:r>
      <w:r w:rsidR="005F5F69" w:rsidRPr="00375F64">
        <w:rPr>
          <w:rFonts w:cs="Times New Roman"/>
          <w:lang w:val="en-US"/>
        </w:rPr>
        <w:t>-</w:t>
      </w:r>
      <w:r w:rsidR="004816A5" w:rsidRPr="00375F64">
        <w:rPr>
          <w:rFonts w:cs="Times New Roman"/>
          <w:lang w:val="en-US"/>
        </w:rPr>
        <w:t xml:space="preserve"> economic situation in Belgium is specific to the receiving university and is not taught in the sending univers</w:t>
      </w:r>
      <w:r w:rsidR="005F5F69" w:rsidRPr="00375F64">
        <w:rPr>
          <w:rFonts w:cs="Times New Roman"/>
          <w:lang w:val="en-US"/>
        </w:rPr>
        <w:t xml:space="preserve">ity. </w:t>
      </w:r>
      <w:r w:rsidR="00375F64">
        <w:rPr>
          <w:rFonts w:cs="Times New Roman"/>
          <w:lang w:val="en-US"/>
        </w:rPr>
        <w:t xml:space="preserve">Hence, </w:t>
      </w:r>
      <w:r w:rsidR="005F5F69" w:rsidRPr="00375F64">
        <w:rPr>
          <w:rFonts w:cs="Times New Roman"/>
          <w:lang w:val="en-US"/>
        </w:rPr>
        <w:t>there is an added value, and in this case 9+ =10!</w:t>
      </w:r>
    </w:p>
    <w:p w14:paraId="0883E00D" w14:textId="35C24989" w:rsidR="004816A5" w:rsidRPr="00375F64" w:rsidRDefault="004816A5" w:rsidP="004816A5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The learning outcomes of “International Communication” and “</w:t>
      </w:r>
      <w:r w:rsidR="009B23AC" w:rsidRPr="00375F64">
        <w:rPr>
          <w:rFonts w:cs="Times New Roman"/>
          <w:lang w:val="en-US"/>
        </w:rPr>
        <w:t>I</w:t>
      </w:r>
      <w:r w:rsidRPr="00375F64">
        <w:rPr>
          <w:rFonts w:cs="Times New Roman"/>
          <w:lang w:val="en-US"/>
        </w:rPr>
        <w:t xml:space="preserve">nternational </w:t>
      </w:r>
      <w:r w:rsidR="009B23AC" w:rsidRPr="00375F64">
        <w:rPr>
          <w:rFonts w:cs="Times New Roman"/>
          <w:lang w:val="en-US"/>
        </w:rPr>
        <w:t>B</w:t>
      </w:r>
      <w:r w:rsidRPr="00375F64">
        <w:rPr>
          <w:rFonts w:cs="Times New Roman"/>
          <w:lang w:val="en-US"/>
        </w:rPr>
        <w:t xml:space="preserve">usiness </w:t>
      </w:r>
      <w:r w:rsidR="009B23AC" w:rsidRPr="00375F64">
        <w:rPr>
          <w:rFonts w:cs="Times New Roman"/>
          <w:lang w:val="en-US"/>
        </w:rPr>
        <w:t>S</w:t>
      </w:r>
      <w:r w:rsidRPr="00375F64">
        <w:rPr>
          <w:rFonts w:cs="Times New Roman"/>
          <w:lang w:val="en-US"/>
        </w:rPr>
        <w:t xml:space="preserve">kills” are likely to be at least 75% similar to the </w:t>
      </w:r>
      <w:r w:rsidR="005F5F69" w:rsidRPr="00375F64">
        <w:rPr>
          <w:rFonts w:cs="Times New Roman"/>
          <w:lang w:val="en-US"/>
        </w:rPr>
        <w:t>learning</w:t>
      </w:r>
      <w:r w:rsidRPr="00375F64">
        <w:rPr>
          <w:rFonts w:cs="Times New Roman"/>
          <w:lang w:val="en-US"/>
        </w:rPr>
        <w:t xml:space="preserve"> outcomes of ‘</w:t>
      </w:r>
      <w:r w:rsidR="005F5F69" w:rsidRPr="00375F64">
        <w:rPr>
          <w:rFonts w:cs="Times New Roman"/>
          <w:lang w:val="en-US"/>
        </w:rPr>
        <w:t>Developing the sales base” and “The tactical and operational sales performance”</w:t>
      </w:r>
      <w:r w:rsidR="009B23AC" w:rsidRPr="00375F64">
        <w:rPr>
          <w:rFonts w:cs="Times New Roman"/>
          <w:lang w:val="en-US"/>
        </w:rPr>
        <w:t>.</w:t>
      </w:r>
      <w:r w:rsidR="005F5F69" w:rsidRPr="00375F64">
        <w:rPr>
          <w:rFonts w:cs="Times New Roman"/>
          <w:lang w:val="en-US"/>
        </w:rPr>
        <w:t xml:space="preserve"> We have 12 credits </w:t>
      </w:r>
      <w:r w:rsidR="009B23AC" w:rsidRPr="00375F64">
        <w:rPr>
          <w:rFonts w:cs="Times New Roman"/>
          <w:lang w:val="en-US"/>
        </w:rPr>
        <w:t xml:space="preserve">to correspond </w:t>
      </w:r>
      <w:r w:rsidR="005F5F69" w:rsidRPr="00375F64">
        <w:rPr>
          <w:rFonts w:cs="Times New Roman"/>
          <w:lang w:val="en-US"/>
        </w:rPr>
        <w:t>to 15 credits. The gap is more important, but tolerance is a good virtue</w:t>
      </w:r>
      <w:r w:rsidR="009B23AC" w:rsidRPr="00375F64">
        <w:rPr>
          <w:rFonts w:cs="Times New Roman"/>
          <w:lang w:val="en-US"/>
        </w:rPr>
        <w:t>.</w:t>
      </w:r>
    </w:p>
    <w:p w14:paraId="46371A6E" w14:textId="4821D597" w:rsidR="005F5F69" w:rsidRPr="00375F64" w:rsidRDefault="005F5F69" w:rsidP="004816A5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 xml:space="preserve">It seems that the component “mathematics” </w:t>
      </w:r>
      <w:r w:rsidR="005B7342" w:rsidRPr="00375F64">
        <w:rPr>
          <w:rFonts w:cs="Times New Roman"/>
          <w:lang w:val="en-US"/>
        </w:rPr>
        <w:t xml:space="preserve">(3 ECTS) </w:t>
      </w:r>
      <w:r w:rsidRPr="00375F64">
        <w:rPr>
          <w:rFonts w:cs="Times New Roman"/>
          <w:lang w:val="en-US"/>
        </w:rPr>
        <w:t xml:space="preserve">does not match any component of the sending institution. But mathematics can be considered as a transversal tool which is useful for accounting competences that a seller </w:t>
      </w:r>
      <w:r w:rsidR="00375F64" w:rsidRPr="00375F64">
        <w:rPr>
          <w:rFonts w:cs="Times New Roman"/>
          <w:lang w:val="en-US"/>
        </w:rPr>
        <w:t>need</w:t>
      </w:r>
      <w:r w:rsidR="00375F64">
        <w:rPr>
          <w:rFonts w:cs="Times New Roman"/>
          <w:lang w:val="en-US"/>
        </w:rPr>
        <w:t>s.</w:t>
      </w:r>
    </w:p>
    <w:p w14:paraId="4AFDC148" w14:textId="15B8EA0B" w:rsidR="005F5F69" w:rsidRPr="00375F64" w:rsidRDefault="005F5F69" w:rsidP="004816A5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The component “implementation and follow-up (5 ECTS)</w:t>
      </w:r>
      <w:r w:rsidR="009B23AC" w:rsidRPr="00375F64">
        <w:rPr>
          <w:rFonts w:cs="Times New Roman"/>
          <w:lang w:val="en-US"/>
        </w:rPr>
        <w:t>”</w:t>
      </w:r>
      <w:r w:rsidR="005B7342" w:rsidRPr="00375F64">
        <w:rPr>
          <w:rFonts w:cs="Times New Roman"/>
          <w:lang w:val="en-US"/>
        </w:rPr>
        <w:t xml:space="preserve"> appears isolated, and no component of the receiving institution matches. Why the recognition has been accepted? Probably because there was no similar or close </w:t>
      </w:r>
      <w:r w:rsidR="009B23AC" w:rsidRPr="00375F64">
        <w:rPr>
          <w:rFonts w:cs="Times New Roman"/>
          <w:lang w:val="en-US"/>
        </w:rPr>
        <w:t xml:space="preserve">course </w:t>
      </w:r>
      <w:r w:rsidR="005B7342" w:rsidRPr="00375F64">
        <w:rPr>
          <w:rFonts w:cs="Times New Roman"/>
          <w:lang w:val="en-US"/>
        </w:rPr>
        <w:t xml:space="preserve">available during the semester of mobility, but the </w:t>
      </w:r>
      <w:r w:rsidR="009B23AC" w:rsidRPr="00375F64">
        <w:rPr>
          <w:rFonts w:cs="Times New Roman"/>
          <w:lang w:val="en-US"/>
        </w:rPr>
        <w:t>person who is supervising the mobility</w:t>
      </w:r>
      <w:r w:rsidR="005B7342" w:rsidRPr="00375F64">
        <w:rPr>
          <w:rFonts w:cs="Times New Roman"/>
          <w:lang w:val="en-US"/>
        </w:rPr>
        <w:t xml:space="preserve"> has considered it was a pity to refuse this learning agreement and make the mobility impossible, while only 8% of the study program did not match.</w:t>
      </w:r>
    </w:p>
    <w:p w14:paraId="03ECC066" w14:textId="77777777" w:rsidR="005B7342" w:rsidRPr="00375F64" w:rsidRDefault="005B7342" w:rsidP="005B7342">
      <w:pPr>
        <w:spacing w:after="0" w:line="360" w:lineRule="auto"/>
        <w:jc w:val="both"/>
        <w:rPr>
          <w:rFonts w:cs="Times New Roman"/>
          <w:lang w:val="en-US"/>
        </w:rPr>
      </w:pPr>
    </w:p>
    <w:p w14:paraId="2C9DC958" w14:textId="71F76A01" w:rsidR="005B7342" w:rsidRPr="00375F64" w:rsidRDefault="005B7342" w:rsidP="005B7342">
      <w:pPr>
        <w:spacing w:after="0" w:line="360" w:lineRule="auto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Conclusion:</w:t>
      </w:r>
    </w:p>
    <w:p w14:paraId="3C4208F7" w14:textId="77777777" w:rsidR="005B7342" w:rsidRPr="00375F64" w:rsidRDefault="005B7342" w:rsidP="005B7342">
      <w:pPr>
        <w:spacing w:after="0" w:line="360" w:lineRule="auto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The second example shows more flexibility and tolerance than the first one, but remember that in the context of globalization, mobility is a priority</w:t>
      </w:r>
      <w:r w:rsidR="00FE04C1" w:rsidRPr="00375F64">
        <w:rPr>
          <w:rFonts w:cs="Times New Roman"/>
          <w:lang w:val="en-US"/>
        </w:rPr>
        <w:t>,</w:t>
      </w:r>
      <w:r w:rsidRPr="00375F64">
        <w:rPr>
          <w:rFonts w:cs="Times New Roman"/>
          <w:lang w:val="en-US"/>
        </w:rPr>
        <w:t xml:space="preserve"> and </w:t>
      </w:r>
      <w:r w:rsidR="00FE04C1" w:rsidRPr="00375F64">
        <w:rPr>
          <w:rFonts w:cs="Times New Roman"/>
          <w:lang w:val="en-US"/>
        </w:rPr>
        <w:t xml:space="preserve"> the famous “ivory tower” could be appreciated by the French writer Montaigne who was living in the </w:t>
      </w:r>
      <w:proofErr w:type="spellStart"/>
      <w:r w:rsidR="00FE04C1" w:rsidRPr="00375F64">
        <w:rPr>
          <w:rFonts w:cs="Times New Roman"/>
          <w:lang w:val="en-US"/>
        </w:rPr>
        <w:t>XVIth</w:t>
      </w:r>
      <w:proofErr w:type="spellEnd"/>
      <w:r w:rsidR="00FE04C1" w:rsidRPr="00375F64">
        <w:rPr>
          <w:rFonts w:cs="Times New Roman"/>
          <w:lang w:val="en-US"/>
        </w:rPr>
        <w:t xml:space="preserve"> century, but is no longer appropriate in 2020.</w:t>
      </w:r>
    </w:p>
    <w:sectPr w:rsidR="005B7342" w:rsidRPr="0037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930E2" w14:textId="77777777" w:rsidR="009524E3" w:rsidRDefault="009524E3" w:rsidP="00593702">
      <w:pPr>
        <w:spacing w:after="0" w:line="240" w:lineRule="auto"/>
      </w:pPr>
      <w:r>
        <w:separator/>
      </w:r>
    </w:p>
  </w:endnote>
  <w:endnote w:type="continuationSeparator" w:id="0">
    <w:p w14:paraId="19821819" w14:textId="77777777" w:rsidR="009524E3" w:rsidRDefault="009524E3" w:rsidP="0059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5DDB3" w14:textId="77777777" w:rsidR="009524E3" w:rsidRDefault="009524E3" w:rsidP="00593702">
      <w:pPr>
        <w:spacing w:after="0" w:line="240" w:lineRule="auto"/>
      </w:pPr>
      <w:r>
        <w:separator/>
      </w:r>
    </w:p>
  </w:footnote>
  <w:footnote w:type="continuationSeparator" w:id="0">
    <w:p w14:paraId="0AD95DD9" w14:textId="77777777" w:rsidR="009524E3" w:rsidRDefault="009524E3" w:rsidP="00593702">
      <w:pPr>
        <w:spacing w:after="0" w:line="240" w:lineRule="auto"/>
      </w:pPr>
      <w:r>
        <w:continuationSeparator/>
      </w:r>
    </w:p>
  </w:footnote>
  <w:footnote w:id="1">
    <w:p w14:paraId="743C6695" w14:textId="77777777" w:rsidR="00EF3FD1" w:rsidRPr="00593702" w:rsidRDefault="00EF3FD1" w:rsidP="00EF3FD1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593702">
        <w:rPr>
          <w:lang w:val="en-US"/>
        </w:rPr>
        <w:t xml:space="preserve"> U.E = </w:t>
      </w:r>
      <w:proofErr w:type="spellStart"/>
      <w:r w:rsidRPr="00593702">
        <w:rPr>
          <w:b/>
          <w:lang w:val="en-US"/>
        </w:rPr>
        <w:t>U</w:t>
      </w:r>
      <w:r w:rsidRPr="00593702">
        <w:rPr>
          <w:lang w:val="en-US"/>
        </w:rPr>
        <w:t>nité</w:t>
      </w:r>
      <w:proofErr w:type="spellEnd"/>
      <w:r w:rsidRPr="00593702">
        <w:rPr>
          <w:lang w:val="en-US"/>
        </w:rPr>
        <w:t xml:space="preserve"> </w:t>
      </w:r>
      <w:proofErr w:type="spellStart"/>
      <w:r w:rsidRPr="00593702">
        <w:rPr>
          <w:lang w:val="en-US"/>
        </w:rPr>
        <w:t>d’</w:t>
      </w:r>
      <w:r w:rsidRPr="00593702">
        <w:rPr>
          <w:b/>
          <w:lang w:val="en-US"/>
        </w:rPr>
        <w:t>E</w:t>
      </w:r>
      <w:r w:rsidRPr="00593702">
        <w:rPr>
          <w:lang w:val="en-US"/>
        </w:rPr>
        <w:t>nseignement</w:t>
      </w:r>
      <w:proofErr w:type="spellEnd"/>
      <w:r w:rsidRPr="00593702">
        <w:rPr>
          <w:lang w:val="en-US"/>
        </w:rPr>
        <w:t xml:space="preserve"> (Teaching Unit</w:t>
      </w:r>
      <w:r>
        <w:rPr>
          <w:lang w:val="en-US"/>
        </w:rPr>
        <w:t>)</w:t>
      </w:r>
      <w:r w:rsidRPr="00593702">
        <w:rPr>
          <w:lang w:val="en-US"/>
        </w:rPr>
        <w:t xml:space="preserve"> is </w:t>
      </w:r>
      <w:r>
        <w:rPr>
          <w:lang w:val="en-US"/>
        </w:rPr>
        <w:t xml:space="preserve">the </w:t>
      </w:r>
      <w:r w:rsidRPr="00593702">
        <w:rPr>
          <w:lang w:val="en-US"/>
        </w:rPr>
        <w:t xml:space="preserve"> equivalent of « </w:t>
      </w:r>
      <w:r>
        <w:rPr>
          <w:lang w:val="en-US"/>
        </w:rPr>
        <w:t>co</w:t>
      </w:r>
      <w:r w:rsidRPr="00593702">
        <w:rPr>
          <w:lang w:val="en-US"/>
        </w:rPr>
        <w:t>urse »</w:t>
      </w:r>
      <w:r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1FD"/>
    <w:multiLevelType w:val="hybridMultilevel"/>
    <w:tmpl w:val="608EAD40"/>
    <w:lvl w:ilvl="0" w:tplc="DFC04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1CF7"/>
    <w:multiLevelType w:val="hybridMultilevel"/>
    <w:tmpl w:val="ED569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07A0"/>
    <w:multiLevelType w:val="hybridMultilevel"/>
    <w:tmpl w:val="885A4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19D7"/>
    <w:multiLevelType w:val="hybridMultilevel"/>
    <w:tmpl w:val="9B189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14E3F"/>
    <w:multiLevelType w:val="hybridMultilevel"/>
    <w:tmpl w:val="F412F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91CC2"/>
    <w:multiLevelType w:val="hybridMultilevel"/>
    <w:tmpl w:val="3F54ED68"/>
    <w:lvl w:ilvl="0" w:tplc="F61082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56166"/>
    <w:multiLevelType w:val="hybridMultilevel"/>
    <w:tmpl w:val="83C0C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26AB3"/>
    <w:multiLevelType w:val="hybridMultilevel"/>
    <w:tmpl w:val="3934E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16D03"/>
    <w:multiLevelType w:val="hybridMultilevel"/>
    <w:tmpl w:val="AEBE4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207F3"/>
    <w:multiLevelType w:val="hybridMultilevel"/>
    <w:tmpl w:val="4746B9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257E8B"/>
    <w:multiLevelType w:val="hybridMultilevel"/>
    <w:tmpl w:val="03461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F2035"/>
    <w:multiLevelType w:val="hybridMultilevel"/>
    <w:tmpl w:val="6FF81D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807EA"/>
    <w:multiLevelType w:val="hybridMultilevel"/>
    <w:tmpl w:val="904656B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1910FC"/>
    <w:multiLevelType w:val="hybridMultilevel"/>
    <w:tmpl w:val="85E67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E30EF"/>
    <w:multiLevelType w:val="hybridMultilevel"/>
    <w:tmpl w:val="1A0A3E3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12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4EE"/>
    <w:rsid w:val="00065663"/>
    <w:rsid w:val="000668C3"/>
    <w:rsid w:val="0007294E"/>
    <w:rsid w:val="001B1E33"/>
    <w:rsid w:val="00315174"/>
    <w:rsid w:val="00375F64"/>
    <w:rsid w:val="003F072F"/>
    <w:rsid w:val="0042720C"/>
    <w:rsid w:val="00447EE2"/>
    <w:rsid w:val="00472B77"/>
    <w:rsid w:val="004816A5"/>
    <w:rsid w:val="004D33E3"/>
    <w:rsid w:val="0050719B"/>
    <w:rsid w:val="0055255A"/>
    <w:rsid w:val="00593702"/>
    <w:rsid w:val="005B1D4A"/>
    <w:rsid w:val="005B7342"/>
    <w:rsid w:val="005B7C84"/>
    <w:rsid w:val="005F5F69"/>
    <w:rsid w:val="00606F57"/>
    <w:rsid w:val="007A1D69"/>
    <w:rsid w:val="007F18A2"/>
    <w:rsid w:val="0080438E"/>
    <w:rsid w:val="00846B62"/>
    <w:rsid w:val="008924FD"/>
    <w:rsid w:val="009524E3"/>
    <w:rsid w:val="00960255"/>
    <w:rsid w:val="009B23AC"/>
    <w:rsid w:val="00A614EE"/>
    <w:rsid w:val="00AD6893"/>
    <w:rsid w:val="00C33AD3"/>
    <w:rsid w:val="00C46B3D"/>
    <w:rsid w:val="00D944ED"/>
    <w:rsid w:val="00E7070B"/>
    <w:rsid w:val="00EF3FD1"/>
    <w:rsid w:val="00F47DC7"/>
    <w:rsid w:val="00FC5E8D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F523"/>
  <w15:docId w15:val="{DF76E99B-5FBB-44A9-A244-D531D686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61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1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614E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370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370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370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261A-A82A-4E68-9092-3026BC9D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Lamboley</dc:creator>
  <cp:lastModifiedBy>Bydanova, Lisa</cp:lastModifiedBy>
  <cp:revision>2</cp:revision>
  <dcterms:created xsi:type="dcterms:W3CDTF">2020-02-14T06:53:00Z</dcterms:created>
  <dcterms:modified xsi:type="dcterms:W3CDTF">2020-02-14T06:53:00Z</dcterms:modified>
</cp:coreProperties>
</file>